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EC" w:rsidRPr="000E25A2" w:rsidRDefault="00C73BEC" w:rsidP="00C73BEC">
      <w:pPr>
        <w:pStyle w:val="Header"/>
        <w:tabs>
          <w:tab w:val="left" w:pos="5745"/>
          <w:tab w:val="right" w:pos="9900"/>
        </w:tabs>
        <w:spacing w:line="276" w:lineRule="auto"/>
        <w:rPr>
          <w:rFonts w:ascii="Open Sans Light" w:hAnsi="Open Sans Light" w:cs="Open Sans Light"/>
          <w:sz w:val="20"/>
          <w:szCs w:val="22"/>
        </w:rPr>
      </w:pPr>
      <w:r w:rsidRPr="00C22AE7">
        <w:rPr>
          <w:rFonts w:ascii="Open Sans Light" w:hAnsi="Open Sans Light" w:cs="Open Sans Light"/>
          <w:sz w:val="18"/>
        </w:rPr>
        <w:t>KANSAS STATE DEPARTMENT OF EDUCATION</w:t>
      </w:r>
    </w:p>
    <w:p w:rsidR="00C73BEC" w:rsidRDefault="0041489B" w:rsidP="00C73BEC">
      <w:pPr>
        <w:spacing w:line="360" w:lineRule="auto"/>
        <w:rPr>
          <w:rFonts w:ascii="Open Sans Light" w:hAnsi="Open Sans Light" w:cs="Open Sans Light"/>
          <w:b/>
          <w:color w:val="244061"/>
          <w:sz w:val="48"/>
          <w:szCs w:val="48"/>
        </w:rPr>
      </w:pPr>
      <w:r>
        <w:rPr>
          <w:noProof/>
        </w:rPr>
        <w:drawing>
          <wp:anchor distT="0" distB="0" distL="114300" distR="114300" simplePos="0" relativeHeight="251659264" behindDoc="0" locked="0" layoutInCell="1" allowOverlap="1">
            <wp:simplePos x="0" y="0"/>
            <wp:positionH relativeFrom="margin">
              <wp:posOffset>-95250</wp:posOffset>
            </wp:positionH>
            <wp:positionV relativeFrom="paragraph">
              <wp:posOffset>224790</wp:posOffset>
            </wp:positionV>
            <wp:extent cx="6696075" cy="548640"/>
            <wp:effectExtent l="0" t="0" r="0" b="0"/>
            <wp:wrapNone/>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EC">
        <w:rPr>
          <w:rFonts w:ascii="Open Sans Light" w:hAnsi="Open Sans Light" w:cs="Open Sans Light"/>
          <w:b/>
          <w:color w:val="244061"/>
          <w:sz w:val="48"/>
          <w:szCs w:val="48"/>
        </w:rPr>
        <w:t>Age of Eligibility to Attend School</w:t>
      </w:r>
    </w:p>
    <w:p w:rsidR="00C73BEC" w:rsidRDefault="00C73BEC" w:rsidP="00C73BEC">
      <w:pPr>
        <w:rPr>
          <w:rFonts w:ascii="Open Sans Light" w:hAnsi="Open Sans Light" w:cs="Open Sans Light"/>
          <w:color w:val="244061"/>
          <w:sz w:val="20"/>
        </w:rPr>
      </w:pPr>
      <w:r w:rsidRPr="00C73BEC">
        <w:rPr>
          <w:rFonts w:ascii="Open Sans Light" w:hAnsi="Open Sans Light" w:cs="Open Sans Light"/>
          <w:color w:val="244061"/>
          <w:sz w:val="20"/>
        </w:rPr>
        <w:t>K.S.A. 72-3118, Chapter 72 – SCHOOLS Article 11 School Attendance, Curriculum and Accreditation</w:t>
      </w:r>
    </w:p>
    <w:p w:rsidR="00C73BEC" w:rsidRPr="00C73BEC" w:rsidRDefault="00C73BEC" w:rsidP="00C73BEC">
      <w:pPr>
        <w:rPr>
          <w:rFonts w:ascii="Open Sans Light" w:hAnsi="Open Sans Light" w:cs="Open Sans Light"/>
          <w:color w:val="244061"/>
          <w:sz w:val="20"/>
        </w:rPr>
      </w:pPr>
    </w:p>
    <w:p w:rsidR="00C20F9D" w:rsidRPr="005A5387" w:rsidRDefault="00C20F9D" w:rsidP="00C20F9D">
      <w:pPr>
        <w:ind w:left="900" w:right="150"/>
        <w:rPr>
          <w:rFonts w:ascii="Calibri" w:eastAsia="Times New Roman" w:hAnsi="Calibri"/>
          <w:color w:val="404040" w:themeColor="text1" w:themeTint="BF"/>
          <w:sz w:val="6"/>
          <w:szCs w:val="22"/>
        </w:rPr>
      </w:pPr>
    </w:p>
    <w:p w:rsidR="005A5387" w:rsidRDefault="005A5387" w:rsidP="00526A8D">
      <w:pPr>
        <w:ind w:left="900" w:right="150"/>
        <w:rPr>
          <w:rFonts w:ascii="Calibri" w:eastAsia="Times New Roman" w:hAnsi="Calibri"/>
          <w:color w:val="404040" w:themeColor="text1" w:themeTint="BF"/>
          <w:sz w:val="22"/>
          <w:szCs w:val="22"/>
        </w:rPr>
        <w:sectPr w:rsidR="005A5387" w:rsidSect="00C20F9D">
          <w:pgSz w:w="12240" w:h="15840"/>
          <w:pgMar w:top="630" w:right="1260" w:bottom="360" w:left="720" w:header="720" w:footer="720" w:gutter="0"/>
          <w:cols w:space="720"/>
          <w:docGrid w:linePitch="360"/>
        </w:sectPr>
      </w:pPr>
    </w:p>
    <w:p w:rsidR="00593F51" w:rsidRPr="00C73BEC" w:rsidRDefault="00593F51" w:rsidP="005A5387">
      <w:pPr>
        <w:ind w:left="90"/>
        <w:jc w:val="both"/>
        <w:rPr>
          <w:rFonts w:ascii="Open Sans Light" w:eastAsia="Times New Roman" w:hAnsi="Open Sans Light" w:cs="Open Sans Light"/>
          <w:color w:val="404040" w:themeColor="text1" w:themeTint="BF"/>
          <w:sz w:val="20"/>
          <w:szCs w:val="20"/>
        </w:rPr>
      </w:pPr>
      <w:r w:rsidRPr="00AD36C5">
        <w:rPr>
          <w:rFonts w:ascii="Calibri" w:eastAsia="Times New Roman" w:hAnsi="Calibri"/>
          <w:color w:val="404040" w:themeColor="text1" w:themeTint="BF"/>
          <w:sz w:val="22"/>
          <w:szCs w:val="22"/>
        </w:rPr>
        <w:t xml:space="preserve">    </w:t>
      </w:r>
      <w:hyperlink r:id="rId9" w:history="1">
        <w:r w:rsidRPr="00C73BEC">
          <w:rPr>
            <w:rStyle w:val="Hyperlink"/>
            <w:rFonts w:ascii="Open Sans Light" w:eastAsia="Times New Roman" w:hAnsi="Open Sans Light" w:cs="Open Sans Light"/>
            <w:b/>
            <w:bCs/>
            <w:sz w:val="20"/>
            <w:szCs w:val="20"/>
          </w:rPr>
          <w:t>72-</w:t>
        </w:r>
        <w:r w:rsidR="004F093C" w:rsidRPr="00C73BEC">
          <w:rPr>
            <w:rStyle w:val="Hyperlink"/>
            <w:rFonts w:ascii="Open Sans Light" w:eastAsia="Times New Roman" w:hAnsi="Open Sans Light" w:cs="Open Sans Light"/>
            <w:b/>
            <w:bCs/>
            <w:sz w:val="20"/>
            <w:szCs w:val="20"/>
          </w:rPr>
          <w:t>3118</w:t>
        </w:r>
      </w:hyperlink>
      <w:r w:rsidRPr="00C73BEC">
        <w:rPr>
          <w:rFonts w:ascii="Open Sans Light" w:eastAsia="Times New Roman" w:hAnsi="Open Sans Light" w:cs="Open Sans Light"/>
          <w:b/>
          <w:bCs/>
          <w:color w:val="404040" w:themeColor="text1" w:themeTint="BF"/>
          <w:sz w:val="20"/>
          <w:szCs w:val="20"/>
        </w:rPr>
        <w:t>.</w:t>
      </w:r>
      <w:r w:rsidRPr="00C73BEC">
        <w:rPr>
          <w:rFonts w:ascii="Open Sans Light" w:eastAsia="Times New Roman" w:hAnsi="Open Sans Light" w:cs="Open Sans Light"/>
          <w:color w:val="404040" w:themeColor="text1" w:themeTint="BF"/>
          <w:sz w:val="20"/>
          <w:szCs w:val="20"/>
        </w:rPr>
        <w:t xml:space="preserve"> </w:t>
      </w:r>
      <w:r w:rsidRPr="00C73BEC">
        <w:rPr>
          <w:rFonts w:ascii="Open Sans Light" w:eastAsia="Times New Roman" w:hAnsi="Open Sans Light" w:cs="Open Sans Light"/>
          <w:b/>
          <w:bCs/>
          <w:color w:val="404040" w:themeColor="text1" w:themeTint="BF"/>
          <w:sz w:val="20"/>
          <w:szCs w:val="20"/>
        </w:rPr>
        <w:t>Age of eligibility for school attendance.</w:t>
      </w:r>
      <w:r w:rsidRPr="00C73BEC">
        <w:rPr>
          <w:rFonts w:ascii="Open Sans Light" w:eastAsia="Times New Roman" w:hAnsi="Open Sans Light" w:cs="Open Sans Light"/>
          <w:color w:val="404040" w:themeColor="text1" w:themeTint="BF"/>
          <w:sz w:val="20"/>
          <w:szCs w:val="20"/>
        </w:rPr>
        <w:t xml:space="preserve"> (a) Subject to the provisions of subsection (b), any child is eligible to attend the elementary grades in the school district in which the child resides or in a school district which has entered into an agreement in accordance with and under authority of </w:t>
      </w:r>
      <w:r w:rsidR="005921EF" w:rsidRPr="00C73BEC">
        <w:rPr>
          <w:rFonts w:ascii="Open Sans Light" w:eastAsia="Times New Roman" w:hAnsi="Open Sans Light" w:cs="Open Sans Light"/>
          <w:color w:val="404040" w:themeColor="text1" w:themeTint="BF"/>
          <w:sz w:val="20"/>
          <w:szCs w:val="20"/>
        </w:rPr>
        <w:t xml:space="preserve">K.S.A.  </w:t>
      </w:r>
      <w:hyperlink r:id="rId10" w:history="1">
        <w:r w:rsidR="005921EF" w:rsidRPr="00C73BEC">
          <w:rPr>
            <w:rStyle w:val="Hyperlink"/>
            <w:rFonts w:ascii="Open Sans Light" w:eastAsia="Times New Roman" w:hAnsi="Open Sans Light" w:cs="Open Sans Light"/>
            <w:sz w:val="20"/>
            <w:szCs w:val="20"/>
          </w:rPr>
          <w:t>72-13,101</w:t>
        </w:r>
      </w:hyperlink>
      <w:r w:rsidRPr="00C73BEC">
        <w:rPr>
          <w:rFonts w:ascii="Open Sans Light" w:eastAsia="Times New Roman" w:hAnsi="Open Sans Light" w:cs="Open Sans Light"/>
          <w:color w:val="404040" w:themeColor="text1" w:themeTint="BF"/>
          <w:sz w:val="20"/>
          <w:szCs w:val="20"/>
        </w:rPr>
        <w:t xml:space="preserve">, and amendments thereto, with the school district in which the child resides if (1) for the 1994-95 school year, the child will attain the age of six years on or before September 1 of the school year and (2) for the 1995-96 school year, the child will attain the age of six years on or before September 1 of the school year and (3) for any school year commencing after the 1995-96 school year, the child will attain the age of six years </w:t>
      </w:r>
      <w:r w:rsidRPr="00C73BEC">
        <w:rPr>
          <w:rFonts w:ascii="Open Sans Light" w:eastAsia="Times New Roman" w:hAnsi="Open Sans Light" w:cs="Open Sans Light"/>
          <w:b/>
          <w:color w:val="404040" w:themeColor="text1" w:themeTint="BF"/>
          <w:sz w:val="20"/>
          <w:szCs w:val="20"/>
        </w:rPr>
        <w:t>on or before August 31</w:t>
      </w:r>
      <w:r w:rsidRPr="00C73BEC">
        <w:rPr>
          <w:rFonts w:ascii="Open Sans Light" w:eastAsia="Times New Roman" w:hAnsi="Open Sans Light" w:cs="Open Sans Light"/>
          <w:color w:val="404040" w:themeColor="text1" w:themeTint="BF"/>
          <w:sz w:val="20"/>
          <w:szCs w:val="20"/>
        </w:rPr>
        <w:t xml:space="preserve"> of the school year; </w:t>
      </w:r>
    </w:p>
    <w:p w:rsidR="00593F51" w:rsidRPr="00C73BEC" w:rsidRDefault="00593F51" w:rsidP="005A5387">
      <w:pPr>
        <w:ind w:left="90"/>
        <w:jc w:val="both"/>
        <w:rPr>
          <w:rFonts w:ascii="Open Sans Light" w:eastAsia="Times New Roman" w:hAnsi="Open Sans Light" w:cs="Open Sans Light"/>
          <w:color w:val="404040" w:themeColor="text1" w:themeTint="BF"/>
          <w:sz w:val="20"/>
          <w:szCs w:val="20"/>
        </w:rPr>
      </w:pPr>
      <w:r w:rsidRPr="00C73BEC">
        <w:rPr>
          <w:rFonts w:ascii="Open Sans Light" w:eastAsia="Times New Roman" w:hAnsi="Open Sans Light" w:cs="Open Sans Light"/>
          <w:color w:val="404040" w:themeColor="text1" w:themeTint="BF"/>
          <w:sz w:val="20"/>
          <w:szCs w:val="20"/>
        </w:rPr>
        <w:t xml:space="preserve">      (b)   any child who has completed a kindergarten course entered and attended in this state in accordance with the provisions of subsection (d) or who was a resident in another state and who, while residing in such other state, had entered and was in attendance in first grade in such state or who had completed in such state a kindergarten course maintained by a public school district or by an accredited private, denominational or parochial </w:t>
      </w:r>
      <w:r w:rsidRPr="00C73BEC">
        <w:rPr>
          <w:rFonts w:ascii="Open Sans Light" w:eastAsia="Times New Roman" w:hAnsi="Open Sans Light" w:cs="Open Sans Light"/>
          <w:color w:val="404040" w:themeColor="text1" w:themeTint="BF"/>
          <w:sz w:val="20"/>
          <w:szCs w:val="20"/>
        </w:rPr>
        <w:t xml:space="preserve">school shall be eligible to attend first grade in this state, regardless of age; </w:t>
      </w:r>
    </w:p>
    <w:p w:rsidR="00593F51" w:rsidRPr="00C73BEC" w:rsidRDefault="00593F51" w:rsidP="005A5387">
      <w:pPr>
        <w:ind w:left="90"/>
        <w:jc w:val="both"/>
        <w:rPr>
          <w:rFonts w:ascii="Open Sans Light" w:eastAsia="Times New Roman" w:hAnsi="Open Sans Light" w:cs="Open Sans Light"/>
          <w:color w:val="404040" w:themeColor="text1" w:themeTint="BF"/>
          <w:sz w:val="20"/>
          <w:szCs w:val="20"/>
        </w:rPr>
      </w:pPr>
      <w:r w:rsidRPr="00C73BEC">
        <w:rPr>
          <w:rFonts w:ascii="Open Sans Light" w:eastAsia="Times New Roman" w:hAnsi="Open Sans Light" w:cs="Open Sans Light"/>
          <w:color w:val="404040" w:themeColor="text1" w:themeTint="BF"/>
          <w:sz w:val="20"/>
          <w:szCs w:val="20"/>
        </w:rPr>
        <w:t>      (c)   subject to the provisions of subsection (d), any child is eligible to attend kindergarten in the school district in which the child resides or in a school district which has entered into an agreement in accordance with and under authority of</w:t>
      </w:r>
      <w:r w:rsidR="004F093C" w:rsidRPr="00C73BEC">
        <w:rPr>
          <w:rFonts w:ascii="Open Sans Light" w:eastAsia="Times New Roman" w:hAnsi="Open Sans Light" w:cs="Open Sans Light"/>
          <w:color w:val="404040" w:themeColor="text1" w:themeTint="BF"/>
          <w:sz w:val="20"/>
          <w:szCs w:val="20"/>
        </w:rPr>
        <w:t xml:space="preserve"> K.S.A.</w:t>
      </w:r>
      <w:r w:rsidR="004F093C" w:rsidRPr="00C73BEC">
        <w:rPr>
          <w:rFonts w:ascii="Open Sans Light" w:hAnsi="Open Sans Light" w:cs="Open Sans Light"/>
          <w:color w:val="404040" w:themeColor="text1" w:themeTint="BF"/>
          <w:sz w:val="20"/>
          <w:szCs w:val="20"/>
        </w:rPr>
        <w:t xml:space="preserve"> </w:t>
      </w:r>
      <w:hyperlink r:id="rId11" w:tgtFrame="_blank" w:history="1">
        <w:r w:rsidR="004F093C" w:rsidRPr="00C73BEC">
          <w:rPr>
            <w:rStyle w:val="Hyperlink"/>
            <w:rFonts w:ascii="Open Sans Light" w:hAnsi="Open Sans Light" w:cs="Open Sans Light"/>
            <w:sz w:val="20"/>
            <w:szCs w:val="20"/>
          </w:rPr>
          <w:t>72-13,101</w:t>
        </w:r>
      </w:hyperlink>
      <w:r w:rsidRPr="00C73BEC">
        <w:rPr>
          <w:rFonts w:ascii="Open Sans Light" w:eastAsia="Times New Roman" w:hAnsi="Open Sans Light" w:cs="Open Sans Light"/>
          <w:color w:val="404040" w:themeColor="text1" w:themeTint="BF"/>
          <w:sz w:val="20"/>
          <w:szCs w:val="20"/>
        </w:rPr>
        <w:t xml:space="preserve">, and amendments thereto, with the school district in which the child resides if (1) for the 1994-95 school year, the child will attain the age of five years on or before September 1 of the school year and (2) for any school year commencing after the 1994-95 school year, the child will attain the age of five years on or before August 31 of the school year; </w:t>
      </w:r>
    </w:p>
    <w:p w:rsidR="00593F51" w:rsidRPr="00C73BEC" w:rsidRDefault="00593F51" w:rsidP="005A5387">
      <w:pPr>
        <w:ind w:left="90"/>
        <w:jc w:val="both"/>
        <w:rPr>
          <w:rFonts w:ascii="Open Sans Light" w:eastAsia="Times New Roman" w:hAnsi="Open Sans Light" w:cs="Open Sans Light"/>
          <w:color w:val="404040" w:themeColor="text1" w:themeTint="BF"/>
          <w:sz w:val="20"/>
          <w:szCs w:val="20"/>
        </w:rPr>
      </w:pPr>
      <w:r w:rsidRPr="00C73BEC">
        <w:rPr>
          <w:rFonts w:ascii="Open Sans Light" w:eastAsia="Times New Roman" w:hAnsi="Open Sans Light" w:cs="Open Sans Light"/>
          <w:color w:val="404040" w:themeColor="text1" w:themeTint="BF"/>
          <w:sz w:val="20"/>
          <w:szCs w:val="20"/>
        </w:rPr>
        <w:t xml:space="preserve">      (d)   any child who was a resident in another state and who, while residing in such other state, had entered and was in attendance in kindergarten in such state shall be eligible to attend kindergarten in this state, regardless of age. </w:t>
      </w:r>
    </w:p>
    <w:p w:rsidR="00593F51" w:rsidRPr="00C73BEC" w:rsidRDefault="00593F51" w:rsidP="005A5387">
      <w:pPr>
        <w:ind w:left="90"/>
        <w:jc w:val="both"/>
        <w:rPr>
          <w:rFonts w:ascii="Open Sans Light" w:eastAsia="Times New Roman" w:hAnsi="Open Sans Light" w:cs="Open Sans Light"/>
          <w:color w:val="404040" w:themeColor="text1" w:themeTint="BF"/>
          <w:sz w:val="18"/>
          <w:szCs w:val="20"/>
        </w:rPr>
      </w:pPr>
      <w:r w:rsidRPr="00C73BEC">
        <w:rPr>
          <w:rFonts w:ascii="Open Sans Light" w:eastAsia="Times New Roman" w:hAnsi="Open Sans Light" w:cs="Open Sans Light"/>
          <w:color w:val="404040" w:themeColor="text1" w:themeTint="BF"/>
          <w:sz w:val="20"/>
          <w:szCs w:val="20"/>
        </w:rPr>
        <w:t xml:space="preserve">    </w:t>
      </w:r>
      <w:r w:rsidRPr="00C73BEC">
        <w:rPr>
          <w:rFonts w:ascii="Open Sans Light" w:eastAsia="Times New Roman" w:hAnsi="Open Sans Light" w:cs="Open Sans Light"/>
          <w:color w:val="404040" w:themeColor="text1" w:themeTint="BF"/>
          <w:sz w:val="18"/>
          <w:szCs w:val="20"/>
        </w:rPr>
        <w:t xml:space="preserve">  </w:t>
      </w:r>
      <w:r w:rsidRPr="00C73BEC">
        <w:rPr>
          <w:rFonts w:ascii="Open Sans Light" w:eastAsia="Times New Roman" w:hAnsi="Open Sans Light" w:cs="Open Sans Light"/>
          <w:b/>
          <w:bCs/>
          <w:color w:val="404040" w:themeColor="text1" w:themeTint="BF"/>
          <w:sz w:val="18"/>
          <w:szCs w:val="20"/>
        </w:rPr>
        <w:t>History:</w:t>
      </w:r>
      <w:r w:rsidRPr="00C73BEC">
        <w:rPr>
          <w:rFonts w:ascii="Open Sans Light" w:eastAsia="Times New Roman" w:hAnsi="Open Sans Light" w:cs="Open Sans Light"/>
          <w:color w:val="404040" w:themeColor="text1" w:themeTint="BF"/>
          <w:sz w:val="18"/>
          <w:szCs w:val="20"/>
        </w:rPr>
        <w:t xml:space="preserve">   L. 1919, </w:t>
      </w:r>
      <w:proofErr w:type="spellStart"/>
      <w:r w:rsidRPr="00C73BEC">
        <w:rPr>
          <w:rFonts w:ascii="Open Sans Light" w:eastAsia="Times New Roman" w:hAnsi="Open Sans Light" w:cs="Open Sans Light"/>
          <w:color w:val="404040" w:themeColor="text1" w:themeTint="BF"/>
          <w:sz w:val="18"/>
          <w:szCs w:val="20"/>
        </w:rPr>
        <w:t>ch.</w:t>
      </w:r>
      <w:proofErr w:type="spellEnd"/>
      <w:r w:rsidRPr="00C73BEC">
        <w:rPr>
          <w:rFonts w:ascii="Open Sans Light" w:eastAsia="Times New Roman" w:hAnsi="Open Sans Light" w:cs="Open Sans Light"/>
          <w:color w:val="404040" w:themeColor="text1" w:themeTint="BF"/>
          <w:sz w:val="18"/>
          <w:szCs w:val="20"/>
        </w:rPr>
        <w:t xml:space="preserve"> 258, § 1; R.S. 1923, 72-1107; L. 1943, </w:t>
      </w:r>
      <w:proofErr w:type="spellStart"/>
      <w:r w:rsidRPr="00C73BEC">
        <w:rPr>
          <w:rFonts w:ascii="Open Sans Light" w:eastAsia="Times New Roman" w:hAnsi="Open Sans Light" w:cs="Open Sans Light"/>
          <w:color w:val="404040" w:themeColor="text1" w:themeTint="BF"/>
          <w:sz w:val="18"/>
          <w:szCs w:val="20"/>
        </w:rPr>
        <w:t>ch.</w:t>
      </w:r>
      <w:proofErr w:type="spellEnd"/>
      <w:r w:rsidRPr="00C73BEC">
        <w:rPr>
          <w:rFonts w:ascii="Open Sans Light" w:eastAsia="Times New Roman" w:hAnsi="Open Sans Light" w:cs="Open Sans Light"/>
          <w:color w:val="404040" w:themeColor="text1" w:themeTint="BF"/>
          <w:sz w:val="18"/>
          <w:szCs w:val="20"/>
        </w:rPr>
        <w:t xml:space="preserve"> 248, § 39; L. 1965, </w:t>
      </w:r>
      <w:proofErr w:type="spellStart"/>
      <w:r w:rsidRPr="00C73BEC">
        <w:rPr>
          <w:rFonts w:ascii="Open Sans Light" w:eastAsia="Times New Roman" w:hAnsi="Open Sans Light" w:cs="Open Sans Light"/>
          <w:color w:val="404040" w:themeColor="text1" w:themeTint="BF"/>
          <w:sz w:val="18"/>
          <w:szCs w:val="20"/>
        </w:rPr>
        <w:t>ch.</w:t>
      </w:r>
      <w:proofErr w:type="spellEnd"/>
      <w:r w:rsidRPr="00C73BEC">
        <w:rPr>
          <w:rFonts w:ascii="Open Sans Light" w:eastAsia="Times New Roman" w:hAnsi="Open Sans Light" w:cs="Open Sans Light"/>
          <w:color w:val="404040" w:themeColor="text1" w:themeTint="BF"/>
          <w:sz w:val="18"/>
          <w:szCs w:val="20"/>
        </w:rPr>
        <w:t xml:space="preserve"> 405, § 1; L. 1981, </w:t>
      </w:r>
      <w:proofErr w:type="spellStart"/>
      <w:r w:rsidRPr="00C73BEC">
        <w:rPr>
          <w:rFonts w:ascii="Open Sans Light" w:eastAsia="Times New Roman" w:hAnsi="Open Sans Light" w:cs="Open Sans Light"/>
          <w:color w:val="404040" w:themeColor="text1" w:themeTint="BF"/>
          <w:sz w:val="18"/>
          <w:szCs w:val="20"/>
        </w:rPr>
        <w:t>ch.</w:t>
      </w:r>
      <w:proofErr w:type="spellEnd"/>
      <w:r w:rsidRPr="00C73BEC">
        <w:rPr>
          <w:rFonts w:ascii="Open Sans Light" w:eastAsia="Times New Roman" w:hAnsi="Open Sans Light" w:cs="Open Sans Light"/>
          <w:color w:val="404040" w:themeColor="text1" w:themeTint="BF"/>
          <w:sz w:val="18"/>
          <w:szCs w:val="20"/>
        </w:rPr>
        <w:t xml:space="preserve"> 278, § 1; L. 1982, </w:t>
      </w:r>
      <w:proofErr w:type="spellStart"/>
      <w:r w:rsidRPr="00C73BEC">
        <w:rPr>
          <w:rFonts w:ascii="Open Sans Light" w:eastAsia="Times New Roman" w:hAnsi="Open Sans Light" w:cs="Open Sans Light"/>
          <w:color w:val="404040" w:themeColor="text1" w:themeTint="BF"/>
          <w:sz w:val="18"/>
          <w:szCs w:val="20"/>
        </w:rPr>
        <w:t>ch.</w:t>
      </w:r>
      <w:proofErr w:type="spellEnd"/>
      <w:r w:rsidRPr="00C73BEC">
        <w:rPr>
          <w:rFonts w:ascii="Open Sans Light" w:eastAsia="Times New Roman" w:hAnsi="Open Sans Light" w:cs="Open Sans Light"/>
          <w:color w:val="404040" w:themeColor="text1" w:themeTint="BF"/>
          <w:sz w:val="18"/>
          <w:szCs w:val="20"/>
        </w:rPr>
        <w:t xml:space="preserve"> 294, § 1; L. 1984, </w:t>
      </w:r>
      <w:proofErr w:type="spellStart"/>
      <w:r w:rsidRPr="00C73BEC">
        <w:rPr>
          <w:rFonts w:ascii="Open Sans Light" w:eastAsia="Times New Roman" w:hAnsi="Open Sans Light" w:cs="Open Sans Light"/>
          <w:color w:val="404040" w:themeColor="text1" w:themeTint="BF"/>
          <w:sz w:val="18"/>
          <w:szCs w:val="20"/>
        </w:rPr>
        <w:t>ch.</w:t>
      </w:r>
      <w:proofErr w:type="spellEnd"/>
      <w:r w:rsidRPr="00C73BEC">
        <w:rPr>
          <w:rFonts w:ascii="Open Sans Light" w:eastAsia="Times New Roman" w:hAnsi="Open Sans Light" w:cs="Open Sans Light"/>
          <w:color w:val="404040" w:themeColor="text1" w:themeTint="BF"/>
          <w:sz w:val="18"/>
          <w:szCs w:val="20"/>
        </w:rPr>
        <w:t xml:space="preserve"> 261, § 7; L. 1991, </w:t>
      </w:r>
      <w:proofErr w:type="spellStart"/>
      <w:r w:rsidRPr="00C73BEC">
        <w:rPr>
          <w:rFonts w:ascii="Open Sans Light" w:eastAsia="Times New Roman" w:hAnsi="Open Sans Light" w:cs="Open Sans Light"/>
          <w:color w:val="404040" w:themeColor="text1" w:themeTint="BF"/>
          <w:sz w:val="18"/>
          <w:szCs w:val="20"/>
        </w:rPr>
        <w:t>ch.</w:t>
      </w:r>
      <w:proofErr w:type="spellEnd"/>
      <w:r w:rsidRPr="00C73BEC">
        <w:rPr>
          <w:rFonts w:ascii="Open Sans Light" w:eastAsia="Times New Roman" w:hAnsi="Open Sans Light" w:cs="Open Sans Light"/>
          <w:color w:val="404040" w:themeColor="text1" w:themeTint="BF"/>
          <w:sz w:val="18"/>
          <w:szCs w:val="20"/>
        </w:rPr>
        <w:t xml:space="preserve"> 220, § 2; L. 1994, </w:t>
      </w:r>
      <w:proofErr w:type="spellStart"/>
      <w:r w:rsidRPr="00C73BEC">
        <w:rPr>
          <w:rFonts w:ascii="Open Sans Light" w:eastAsia="Times New Roman" w:hAnsi="Open Sans Light" w:cs="Open Sans Light"/>
          <w:color w:val="404040" w:themeColor="text1" w:themeTint="BF"/>
          <w:sz w:val="18"/>
          <w:szCs w:val="20"/>
        </w:rPr>
        <w:t>ch.</w:t>
      </w:r>
      <w:proofErr w:type="spellEnd"/>
      <w:r w:rsidRPr="00C73BEC">
        <w:rPr>
          <w:rFonts w:ascii="Open Sans Light" w:eastAsia="Times New Roman" w:hAnsi="Open Sans Light" w:cs="Open Sans Light"/>
          <w:color w:val="404040" w:themeColor="text1" w:themeTint="BF"/>
          <w:sz w:val="18"/>
          <w:szCs w:val="20"/>
        </w:rPr>
        <w:t xml:space="preserve"> 37, § 1; L. 1994, </w:t>
      </w:r>
      <w:proofErr w:type="spellStart"/>
      <w:r w:rsidRPr="00C73BEC">
        <w:rPr>
          <w:rFonts w:ascii="Open Sans Light" w:eastAsia="Times New Roman" w:hAnsi="Open Sans Light" w:cs="Open Sans Light"/>
          <w:color w:val="404040" w:themeColor="text1" w:themeTint="BF"/>
          <w:sz w:val="18"/>
          <w:szCs w:val="20"/>
        </w:rPr>
        <w:t>ch.</w:t>
      </w:r>
      <w:proofErr w:type="spellEnd"/>
      <w:r w:rsidRPr="00C73BEC">
        <w:rPr>
          <w:rFonts w:ascii="Open Sans Light" w:eastAsia="Times New Roman" w:hAnsi="Open Sans Light" w:cs="Open Sans Light"/>
          <w:color w:val="404040" w:themeColor="text1" w:themeTint="BF"/>
          <w:sz w:val="18"/>
          <w:szCs w:val="20"/>
        </w:rPr>
        <w:t xml:space="preserve"> 318, § 1; July 1. </w:t>
      </w:r>
      <w:r w:rsidR="004F093C" w:rsidRPr="00C73BEC">
        <w:rPr>
          <w:rFonts w:ascii="Open Sans Light" w:eastAsia="Times New Roman" w:hAnsi="Open Sans Light" w:cs="Open Sans Light"/>
          <w:color w:val="404040" w:themeColor="text1" w:themeTint="BF"/>
          <w:sz w:val="18"/>
          <w:szCs w:val="20"/>
        </w:rPr>
        <w:t>Source or Prior Law: 72-1107</w:t>
      </w:r>
    </w:p>
    <w:p w:rsidR="005A5387" w:rsidRPr="00C73BEC" w:rsidRDefault="005A5387" w:rsidP="00526A8D">
      <w:pPr>
        <w:ind w:left="900" w:right="150"/>
        <w:rPr>
          <w:rFonts w:ascii="Open Sans Light" w:eastAsia="Times New Roman" w:hAnsi="Open Sans Light" w:cs="Open Sans Light"/>
          <w:color w:val="404040" w:themeColor="text1" w:themeTint="BF"/>
          <w:sz w:val="20"/>
          <w:szCs w:val="20"/>
        </w:rPr>
        <w:sectPr w:rsidR="005A5387" w:rsidRPr="00C73BEC" w:rsidSect="00C73BEC">
          <w:type w:val="continuous"/>
          <w:pgSz w:w="12240" w:h="15840"/>
          <w:pgMar w:top="630" w:right="1170" w:bottom="360" w:left="1080" w:header="720" w:footer="720" w:gutter="0"/>
          <w:cols w:num="2" w:space="720"/>
          <w:docGrid w:linePitch="360"/>
        </w:sectPr>
      </w:pPr>
    </w:p>
    <w:p w:rsidR="00593F51" w:rsidRPr="00AD36C5" w:rsidRDefault="00857F1D" w:rsidP="00C73BEC">
      <w:pPr>
        <w:ind w:left="0"/>
        <w:rPr>
          <w:rFonts w:ascii="Calibri" w:hAnsi="Calibri"/>
          <w:color w:val="404040" w:themeColor="text1" w:themeTint="BF"/>
        </w:rPr>
      </w:pPr>
      <w:r>
        <w:rPr>
          <w:rFonts w:ascii="Calibri" w:hAnsi="Calibri"/>
          <w:color w:val="404040" w:themeColor="text1" w:themeTint="BF"/>
        </w:rPr>
        <w:pict>
          <v:rect id="_x0000_i1025" style="width:456.3pt;height:1pt" o:hrpct="975" o:hralign="center" o:hrstd="t" o:hr="t" fillcolor="#9d9da1" stroked="f"/>
        </w:pict>
      </w:r>
    </w:p>
    <w:p w:rsidR="00593F51" w:rsidRPr="00AD36C5" w:rsidRDefault="00593F51" w:rsidP="00BA549C">
      <w:pPr>
        <w:ind w:left="810"/>
        <w:rPr>
          <w:rFonts w:ascii="Calibri" w:hAnsi="Calibri"/>
          <w:color w:val="404040" w:themeColor="text1" w:themeTint="BF"/>
          <w:sz w:val="12"/>
        </w:rPr>
      </w:pPr>
    </w:p>
    <w:p w:rsidR="00593F51" w:rsidRPr="00C73BEC" w:rsidRDefault="00593F51" w:rsidP="00C73BEC">
      <w:pPr>
        <w:ind w:left="450"/>
        <w:rPr>
          <w:rFonts w:ascii="Open Sans Light" w:hAnsi="Open Sans Light" w:cs="Open Sans Light"/>
          <w:b/>
          <w:color w:val="002060"/>
          <w:szCs w:val="32"/>
        </w:rPr>
      </w:pPr>
      <w:r w:rsidRPr="00C73BEC">
        <w:rPr>
          <w:rFonts w:ascii="Open Sans Light" w:hAnsi="Open Sans Light" w:cs="Open Sans Light"/>
          <w:b/>
          <w:color w:val="002060"/>
          <w:szCs w:val="32"/>
        </w:rPr>
        <w:t>G</w:t>
      </w:r>
      <w:r w:rsidR="00526A8D" w:rsidRPr="00C73BEC">
        <w:rPr>
          <w:rFonts w:ascii="Open Sans Light" w:hAnsi="Open Sans Light" w:cs="Open Sans Light"/>
          <w:b/>
          <w:color w:val="002060"/>
          <w:szCs w:val="32"/>
        </w:rPr>
        <w:t>uidelines</w:t>
      </w:r>
      <w:r w:rsidRPr="00C73BEC">
        <w:rPr>
          <w:rFonts w:ascii="Open Sans Light" w:hAnsi="Open Sans Light" w:cs="Open Sans Light"/>
          <w:b/>
          <w:color w:val="002060"/>
          <w:szCs w:val="32"/>
        </w:rPr>
        <w:t xml:space="preserve"> </w:t>
      </w:r>
      <w:r w:rsidR="00526A8D" w:rsidRPr="00C73BEC">
        <w:rPr>
          <w:rFonts w:ascii="Open Sans Light" w:hAnsi="Open Sans Light" w:cs="Open Sans Light"/>
          <w:b/>
          <w:color w:val="002060"/>
          <w:szCs w:val="32"/>
        </w:rPr>
        <w:t>for Compliance with</w:t>
      </w:r>
      <w:r w:rsidRPr="00C73BEC">
        <w:rPr>
          <w:rFonts w:ascii="Open Sans Light" w:hAnsi="Open Sans Light" w:cs="Open Sans Light"/>
          <w:b/>
          <w:color w:val="002060"/>
          <w:szCs w:val="32"/>
        </w:rPr>
        <w:t xml:space="preserve"> K</w:t>
      </w:r>
      <w:r w:rsidR="00526A8D" w:rsidRPr="00C73BEC">
        <w:rPr>
          <w:rFonts w:ascii="Open Sans Light" w:hAnsi="Open Sans Light" w:cs="Open Sans Light"/>
          <w:b/>
          <w:color w:val="002060"/>
          <w:szCs w:val="32"/>
        </w:rPr>
        <w:t>.</w:t>
      </w:r>
      <w:r w:rsidRPr="00C73BEC">
        <w:rPr>
          <w:rFonts w:ascii="Open Sans Light" w:hAnsi="Open Sans Light" w:cs="Open Sans Light"/>
          <w:b/>
          <w:color w:val="002060"/>
          <w:szCs w:val="32"/>
        </w:rPr>
        <w:t>S</w:t>
      </w:r>
      <w:r w:rsidR="00526A8D" w:rsidRPr="00C73BEC">
        <w:rPr>
          <w:rFonts w:ascii="Open Sans Light" w:hAnsi="Open Sans Light" w:cs="Open Sans Light"/>
          <w:b/>
          <w:color w:val="002060"/>
          <w:szCs w:val="32"/>
        </w:rPr>
        <w:t>.</w:t>
      </w:r>
      <w:r w:rsidRPr="00C73BEC">
        <w:rPr>
          <w:rFonts w:ascii="Open Sans Light" w:hAnsi="Open Sans Light" w:cs="Open Sans Light"/>
          <w:b/>
          <w:color w:val="002060"/>
          <w:szCs w:val="32"/>
        </w:rPr>
        <w:t>A</w:t>
      </w:r>
      <w:r w:rsidR="00526A8D" w:rsidRPr="00C73BEC">
        <w:rPr>
          <w:rFonts w:ascii="Open Sans Light" w:hAnsi="Open Sans Light" w:cs="Open Sans Light"/>
          <w:b/>
          <w:color w:val="002060"/>
          <w:szCs w:val="32"/>
        </w:rPr>
        <w:t>.</w:t>
      </w:r>
      <w:r w:rsidRPr="00C73BEC">
        <w:rPr>
          <w:rFonts w:ascii="Open Sans Light" w:hAnsi="Open Sans Light" w:cs="Open Sans Light"/>
          <w:b/>
          <w:color w:val="002060"/>
          <w:szCs w:val="32"/>
        </w:rPr>
        <w:t xml:space="preserve"> 72-</w:t>
      </w:r>
      <w:r w:rsidR="004F093C" w:rsidRPr="00C73BEC">
        <w:rPr>
          <w:rFonts w:ascii="Open Sans Light" w:hAnsi="Open Sans Light" w:cs="Open Sans Light"/>
          <w:b/>
          <w:color w:val="002060"/>
          <w:szCs w:val="32"/>
        </w:rPr>
        <w:t>3118</w:t>
      </w:r>
      <w:r w:rsidRPr="00C73BEC">
        <w:rPr>
          <w:rFonts w:ascii="Open Sans Light" w:hAnsi="Open Sans Light" w:cs="Open Sans Light"/>
          <w:b/>
          <w:color w:val="002060"/>
          <w:szCs w:val="32"/>
        </w:rPr>
        <w:t>(d)</w:t>
      </w:r>
    </w:p>
    <w:p w:rsidR="00593F51" w:rsidRPr="005921EF" w:rsidRDefault="00593F51" w:rsidP="00526A8D">
      <w:pPr>
        <w:ind w:left="900"/>
        <w:rPr>
          <w:rFonts w:ascii="Calibri" w:hAnsi="Calibri"/>
          <w:color w:val="404040" w:themeColor="text1" w:themeTint="BF"/>
          <w:sz w:val="8"/>
        </w:rPr>
      </w:pPr>
    </w:p>
    <w:p w:rsidR="00593F51" w:rsidRPr="00C73BEC" w:rsidRDefault="00593F51" w:rsidP="00C73BEC">
      <w:pPr>
        <w:pStyle w:val="ListParagraph"/>
        <w:numPr>
          <w:ilvl w:val="0"/>
          <w:numId w:val="1"/>
        </w:numPr>
        <w:tabs>
          <w:tab w:val="left" w:pos="900"/>
        </w:tabs>
        <w:ind w:left="900" w:right="90" w:hanging="450"/>
        <w:rPr>
          <w:rFonts w:ascii="Open Sans Light" w:hAnsi="Open Sans Light" w:cs="Open Sans Light"/>
          <w:color w:val="404040" w:themeColor="text1" w:themeTint="BF"/>
          <w:sz w:val="20"/>
          <w:szCs w:val="20"/>
        </w:rPr>
      </w:pPr>
      <w:r w:rsidRPr="00C73BEC">
        <w:rPr>
          <w:rFonts w:ascii="Open Sans Light" w:hAnsi="Open Sans Light" w:cs="Open Sans Light"/>
          <w:color w:val="404040" w:themeColor="text1" w:themeTint="BF"/>
          <w:sz w:val="20"/>
          <w:szCs w:val="20"/>
        </w:rPr>
        <w:t>Any student who moves to Kansas and was enrolled in a program equivalent to the Kansas kindergarten program in another state and/or country may enter the kindergarten program in Kansas provided they were five years of age by no later than December 31 in the school year they enrolled.</w:t>
      </w:r>
    </w:p>
    <w:p w:rsidR="00593F51" w:rsidRPr="00C73BEC" w:rsidRDefault="00593F51" w:rsidP="00C73BEC">
      <w:pPr>
        <w:tabs>
          <w:tab w:val="left" w:pos="900"/>
        </w:tabs>
        <w:ind w:left="900" w:right="90" w:hanging="450"/>
        <w:rPr>
          <w:rFonts w:ascii="Open Sans Light" w:hAnsi="Open Sans Light" w:cs="Open Sans Light"/>
          <w:color w:val="404040" w:themeColor="text1" w:themeTint="BF"/>
          <w:sz w:val="12"/>
          <w:szCs w:val="20"/>
        </w:rPr>
      </w:pPr>
    </w:p>
    <w:p w:rsidR="00593F51" w:rsidRPr="00C73BEC" w:rsidRDefault="00593F51" w:rsidP="00C73BEC">
      <w:pPr>
        <w:pStyle w:val="ListParagraph"/>
        <w:numPr>
          <w:ilvl w:val="0"/>
          <w:numId w:val="1"/>
        </w:numPr>
        <w:tabs>
          <w:tab w:val="left" w:pos="900"/>
        </w:tabs>
        <w:ind w:left="900" w:right="90" w:hanging="450"/>
        <w:rPr>
          <w:rFonts w:ascii="Open Sans Light" w:hAnsi="Open Sans Light" w:cs="Open Sans Light"/>
          <w:color w:val="404040" w:themeColor="text1" w:themeTint="BF"/>
          <w:sz w:val="20"/>
          <w:szCs w:val="20"/>
        </w:rPr>
      </w:pPr>
      <w:r w:rsidRPr="00C73BEC">
        <w:rPr>
          <w:rFonts w:ascii="Open Sans Light" w:hAnsi="Open Sans Light" w:cs="Open Sans Light"/>
          <w:color w:val="404040" w:themeColor="text1" w:themeTint="BF"/>
          <w:sz w:val="20"/>
          <w:szCs w:val="20"/>
        </w:rPr>
        <w:t>Any student who has completed kindergarten in another state/country and moves to Kansas and wishes to enroll in the first grade must be six years of age by no later than December 31 in the school year they enrolled.</w:t>
      </w:r>
    </w:p>
    <w:p w:rsidR="00593F51" w:rsidRPr="00C73BEC" w:rsidRDefault="00593F51" w:rsidP="00C73BEC">
      <w:pPr>
        <w:tabs>
          <w:tab w:val="left" w:pos="900"/>
        </w:tabs>
        <w:ind w:left="900" w:right="90" w:hanging="450"/>
        <w:rPr>
          <w:rFonts w:ascii="Open Sans Light" w:hAnsi="Open Sans Light" w:cs="Open Sans Light"/>
          <w:color w:val="404040" w:themeColor="text1" w:themeTint="BF"/>
          <w:sz w:val="12"/>
          <w:szCs w:val="20"/>
        </w:rPr>
      </w:pPr>
    </w:p>
    <w:p w:rsidR="00593F51" w:rsidRPr="00C73BEC" w:rsidRDefault="00593F51" w:rsidP="00C73BEC">
      <w:pPr>
        <w:pStyle w:val="ListParagraph"/>
        <w:numPr>
          <w:ilvl w:val="0"/>
          <w:numId w:val="1"/>
        </w:numPr>
        <w:tabs>
          <w:tab w:val="left" w:pos="900"/>
        </w:tabs>
        <w:ind w:left="900" w:right="90" w:hanging="450"/>
        <w:rPr>
          <w:rFonts w:ascii="Open Sans Light" w:hAnsi="Open Sans Light" w:cs="Open Sans Light"/>
          <w:color w:val="404040" w:themeColor="text1" w:themeTint="BF"/>
          <w:sz w:val="20"/>
          <w:szCs w:val="20"/>
        </w:rPr>
      </w:pPr>
      <w:r w:rsidRPr="00C73BEC">
        <w:rPr>
          <w:rFonts w:ascii="Open Sans Light" w:hAnsi="Open Sans Light" w:cs="Open Sans Light"/>
          <w:color w:val="404040" w:themeColor="text1" w:themeTint="BF"/>
          <w:sz w:val="20"/>
          <w:szCs w:val="20"/>
        </w:rPr>
        <w:t xml:space="preserve">Documentation must be provided that they were legally enrolled and attending in the state/country where they previously resided and that the student </w:t>
      </w:r>
      <w:proofErr w:type="gramStart"/>
      <w:r w:rsidRPr="00C73BEC">
        <w:rPr>
          <w:rFonts w:ascii="Open Sans Light" w:hAnsi="Open Sans Light" w:cs="Open Sans Light"/>
          <w:color w:val="404040" w:themeColor="text1" w:themeTint="BF"/>
          <w:sz w:val="20"/>
          <w:szCs w:val="20"/>
        </w:rPr>
        <w:t>was in compliance with</w:t>
      </w:r>
      <w:proofErr w:type="gramEnd"/>
      <w:r w:rsidRPr="00C73BEC">
        <w:rPr>
          <w:rFonts w:ascii="Open Sans Light" w:hAnsi="Open Sans Light" w:cs="Open Sans Light"/>
          <w:color w:val="404040" w:themeColor="text1" w:themeTint="BF"/>
          <w:sz w:val="20"/>
          <w:szCs w:val="20"/>
        </w:rPr>
        <w:t xml:space="preserve"> the laws of that state/country.</w:t>
      </w:r>
    </w:p>
    <w:p w:rsidR="005D636F" w:rsidRPr="00C73BEC" w:rsidRDefault="005D636F" w:rsidP="00526A8D">
      <w:pPr>
        <w:ind w:left="900"/>
        <w:rPr>
          <w:rFonts w:ascii="Calibri" w:hAnsi="Calibri"/>
          <w:color w:val="404040" w:themeColor="text1" w:themeTint="BF"/>
          <w:sz w:val="8"/>
          <w:szCs w:val="16"/>
        </w:rPr>
      </w:pPr>
    </w:p>
    <w:p w:rsidR="00593F51" w:rsidRPr="00C73BEC" w:rsidRDefault="004F093C" w:rsidP="005D636F">
      <w:pPr>
        <w:ind w:left="900"/>
        <w:jc w:val="right"/>
        <w:rPr>
          <w:rFonts w:ascii="Calibri" w:hAnsi="Calibri"/>
          <w:color w:val="7F7F7F" w:themeColor="text1" w:themeTint="80"/>
          <w:sz w:val="16"/>
          <w:szCs w:val="16"/>
        </w:rPr>
      </w:pPr>
      <w:proofErr w:type="gramStart"/>
      <w:r w:rsidRPr="00C73BEC">
        <w:rPr>
          <w:rFonts w:ascii="Calibri" w:hAnsi="Calibri"/>
          <w:color w:val="7F7F7F" w:themeColor="text1" w:themeTint="80"/>
          <w:sz w:val="16"/>
          <w:szCs w:val="16"/>
        </w:rPr>
        <w:t>P:Budget</w:t>
      </w:r>
      <w:proofErr w:type="gramEnd"/>
      <w:r w:rsidRPr="00C73BEC">
        <w:rPr>
          <w:rFonts w:ascii="Calibri" w:hAnsi="Calibri"/>
          <w:color w:val="7F7F7F" w:themeColor="text1" w:themeTint="80"/>
          <w:sz w:val="16"/>
          <w:szCs w:val="16"/>
        </w:rPr>
        <w:t>/Workshop</w:t>
      </w:r>
      <w:r w:rsidR="00C73BEC" w:rsidRPr="00C73BEC">
        <w:rPr>
          <w:rFonts w:ascii="Calibri" w:hAnsi="Calibri"/>
          <w:color w:val="7F7F7F" w:themeColor="text1" w:themeTint="80"/>
          <w:sz w:val="16"/>
          <w:szCs w:val="16"/>
        </w:rPr>
        <w:t>202</w:t>
      </w:r>
      <w:r w:rsidR="00657977">
        <w:rPr>
          <w:rFonts w:ascii="Calibri" w:hAnsi="Calibri"/>
          <w:color w:val="7F7F7F" w:themeColor="text1" w:themeTint="80"/>
          <w:sz w:val="16"/>
          <w:szCs w:val="16"/>
        </w:rPr>
        <w:t>2</w:t>
      </w:r>
      <w:r w:rsidRPr="00C73BEC">
        <w:rPr>
          <w:rFonts w:ascii="Calibri" w:hAnsi="Calibri"/>
          <w:color w:val="7F7F7F" w:themeColor="text1" w:themeTint="80"/>
          <w:sz w:val="16"/>
          <w:szCs w:val="16"/>
        </w:rPr>
        <w:t>/</w:t>
      </w:r>
      <w:r w:rsidR="00807C3C" w:rsidRPr="00C73BEC">
        <w:rPr>
          <w:rFonts w:ascii="Calibri" w:hAnsi="Calibri"/>
          <w:color w:val="7F7F7F" w:themeColor="text1" w:themeTint="80"/>
          <w:sz w:val="16"/>
          <w:szCs w:val="16"/>
        </w:rPr>
        <w:t>Age of Entrance Guidelines</w:t>
      </w:r>
      <w:r w:rsidRPr="00C73BEC">
        <w:rPr>
          <w:rFonts w:ascii="Calibri" w:hAnsi="Calibri"/>
          <w:color w:val="7F7F7F" w:themeColor="text1" w:themeTint="80"/>
          <w:sz w:val="16"/>
          <w:szCs w:val="16"/>
        </w:rPr>
        <w:t xml:space="preserve">   </w:t>
      </w:r>
      <w:r w:rsidR="00657977">
        <w:rPr>
          <w:rFonts w:ascii="Calibri" w:hAnsi="Calibri"/>
          <w:color w:val="7F7F7F" w:themeColor="text1" w:themeTint="80"/>
          <w:sz w:val="16"/>
          <w:szCs w:val="16"/>
        </w:rPr>
        <w:t>3</w:t>
      </w:r>
      <w:r w:rsidR="00C73BEC" w:rsidRPr="00C73BEC">
        <w:rPr>
          <w:rFonts w:ascii="Calibri" w:hAnsi="Calibri"/>
          <w:color w:val="7F7F7F" w:themeColor="text1" w:themeTint="80"/>
          <w:sz w:val="16"/>
          <w:szCs w:val="16"/>
        </w:rPr>
        <w:t>/202</w:t>
      </w:r>
      <w:r w:rsidR="00657977">
        <w:rPr>
          <w:rFonts w:ascii="Calibri" w:hAnsi="Calibri"/>
          <w:color w:val="7F7F7F" w:themeColor="text1" w:themeTint="80"/>
          <w:sz w:val="16"/>
          <w:szCs w:val="16"/>
        </w:rPr>
        <w:t>1</w:t>
      </w:r>
    </w:p>
    <w:p w:rsidR="00C73BEC" w:rsidRDefault="0041489B" w:rsidP="005D636F">
      <w:pPr>
        <w:ind w:left="900"/>
        <w:jc w:val="right"/>
        <w:rPr>
          <w:rFonts w:ascii="Calibri" w:hAnsi="Calibri"/>
          <w:color w:val="404040" w:themeColor="text1" w:themeTint="BF"/>
          <w:sz w:val="16"/>
          <w:szCs w:val="16"/>
        </w:rPr>
      </w:pPr>
      <w:r>
        <w:rPr>
          <w:noProof/>
        </w:rPr>
        <w:drawing>
          <wp:anchor distT="0" distB="0" distL="114300" distR="114300" simplePos="0" relativeHeight="251661312" behindDoc="0" locked="1" layoutInCell="1" allowOverlap="0">
            <wp:simplePos x="0" y="0"/>
            <wp:positionH relativeFrom="margin">
              <wp:posOffset>485775</wp:posOffset>
            </wp:positionH>
            <wp:positionV relativeFrom="page">
              <wp:posOffset>8581390</wp:posOffset>
            </wp:positionV>
            <wp:extent cx="1447800" cy="804545"/>
            <wp:effectExtent l="0" t="0" r="0" b="0"/>
            <wp:wrapThrough wrapText="bothSides">
              <wp:wrapPolygon edited="0">
                <wp:start x="0" y="0"/>
                <wp:lineTo x="0" y="20969"/>
                <wp:lineTo x="21316" y="20969"/>
                <wp:lineTo x="21316" y="0"/>
                <wp:lineTo x="0" y="0"/>
              </wp:wrapPolygon>
            </wp:wrapThrough>
            <wp:docPr id="8" name="Picture 12"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nsas State Department of Education logo and Address&#10;Address: 900 SW Jackson Street, Suite 102&#10;Topeka, Kansas 66612-1212&#10;Phone: (785) 296-3201&#10;Website: https://www.ksde.org"/>
                    <pic:cNvPicPr>
                      <a:picLocks noChangeAspect="1" noChangeArrowheads="1"/>
                    </pic:cNvPicPr>
                  </pic:nvPicPr>
                  <pic:blipFill>
                    <a:blip r:embed="rId12">
                      <a:extLst>
                        <a:ext uri="{28A0092B-C50C-407E-A947-70E740481C1C}">
                          <a14:useLocalDpi xmlns:a14="http://schemas.microsoft.com/office/drawing/2010/main" val="0"/>
                        </a:ext>
                      </a:extLst>
                    </a:blip>
                    <a:srcRect r="53009"/>
                    <a:stretch>
                      <a:fillRect/>
                    </a:stretch>
                  </pic:blipFill>
                  <pic:spPr bwMode="auto">
                    <a:xfrm>
                      <a:off x="0" y="0"/>
                      <a:ext cx="144780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3BEC" w:rsidRPr="00C73BEC" w:rsidRDefault="00C73BEC" w:rsidP="00C73BEC">
      <w:pPr>
        <w:rPr>
          <w:rFonts w:ascii="Calibri" w:hAnsi="Calibri"/>
          <w:sz w:val="16"/>
          <w:szCs w:val="16"/>
        </w:rPr>
      </w:pPr>
    </w:p>
    <w:p w:rsidR="00C73BEC" w:rsidRDefault="00C73BEC" w:rsidP="00C73BEC">
      <w:pPr>
        <w:rPr>
          <w:rFonts w:ascii="Calibri" w:hAnsi="Calibri"/>
          <w:sz w:val="16"/>
          <w:szCs w:val="16"/>
        </w:rPr>
      </w:pPr>
    </w:p>
    <w:p w:rsidR="005921EF" w:rsidRPr="00C73BEC" w:rsidRDefault="00C73BEC" w:rsidP="00C73BEC">
      <w:pPr>
        <w:rPr>
          <w:rFonts w:ascii="Calibri" w:hAnsi="Calibri"/>
          <w:sz w:val="16"/>
          <w:szCs w:val="16"/>
        </w:rPr>
      </w:pPr>
      <w:r w:rsidRPr="004E7954">
        <w:rPr>
          <w:rFonts w:ascii="Open Sans Light" w:hAnsi="Open Sans Light" w:cs="Open Sans Light"/>
          <w:i/>
          <w:color w:val="002060"/>
          <w:sz w:val="22"/>
        </w:rPr>
        <w:t>Kansas leads the world in the success of each student.</w:t>
      </w:r>
    </w:p>
    <w:tbl>
      <w:tblPr>
        <w:tblStyle w:val="TableGrid"/>
        <w:tblW w:w="8786"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3855"/>
        <w:gridCol w:w="1922"/>
        <w:gridCol w:w="3009"/>
      </w:tblGrid>
      <w:tr w:rsidR="00C73BEC" w:rsidRPr="00C73BEC" w:rsidTr="003C309D">
        <w:trPr>
          <w:trHeight w:val="1854"/>
        </w:trPr>
        <w:tc>
          <w:tcPr>
            <w:tcW w:w="3855" w:type="dxa"/>
          </w:tcPr>
          <w:p w:rsidR="00C73BEC" w:rsidRDefault="00C73BEC" w:rsidP="003C309D">
            <w:pPr>
              <w:pStyle w:val="NoSpacing"/>
              <w:rPr>
                <w:sz w:val="16"/>
                <w:szCs w:val="16"/>
              </w:rPr>
            </w:pPr>
            <w:r w:rsidRPr="0063780D">
              <w:rPr>
                <w:rFonts w:ascii="Open Sans Light" w:hAnsi="Open Sans Light" w:cs="Open Sans Light"/>
                <w:szCs w:val="22"/>
              </w:rPr>
              <w:lastRenderedPageBreak/>
              <w:tab/>
            </w:r>
          </w:p>
          <w:p w:rsidR="00C73BEC" w:rsidRPr="009A32C6" w:rsidRDefault="00C73BEC" w:rsidP="003C309D">
            <w:pPr>
              <w:pStyle w:val="NoSpacing"/>
              <w:spacing w:line="360" w:lineRule="auto"/>
              <w:ind w:left="409"/>
              <w:rPr>
                <w:sz w:val="18"/>
                <w:szCs w:val="16"/>
              </w:rPr>
            </w:pPr>
            <w:r w:rsidRPr="009A32C6">
              <w:rPr>
                <w:sz w:val="18"/>
                <w:szCs w:val="16"/>
              </w:rPr>
              <w:t>For more information, contact:</w:t>
            </w:r>
          </w:p>
          <w:p w:rsidR="00C73BEC" w:rsidRPr="009A32C6" w:rsidRDefault="00857F1D" w:rsidP="003C309D">
            <w:pPr>
              <w:pStyle w:val="Address"/>
              <w:ind w:left="409"/>
              <w:rPr>
                <w:sz w:val="18"/>
              </w:rPr>
            </w:pPr>
            <w:r>
              <w:rPr>
                <w:sz w:val="18"/>
              </w:rPr>
              <w:t xml:space="preserve">Dale Brungardt, </w:t>
            </w:r>
            <w:bookmarkStart w:id="0" w:name="_GoBack"/>
            <w:bookmarkEnd w:id="0"/>
            <w:r w:rsidR="00C73BEC" w:rsidRPr="009A32C6">
              <w:rPr>
                <w:sz w:val="18"/>
              </w:rPr>
              <w:t>Director</w:t>
            </w:r>
            <w:r w:rsidR="00C73BEC" w:rsidRPr="009A32C6">
              <w:rPr>
                <w:sz w:val="18"/>
              </w:rPr>
              <w:br/>
              <w:t>School Finance (785) 296-3872</w:t>
            </w:r>
          </w:p>
          <w:p w:rsidR="00C73BEC" w:rsidRPr="009A32C6" w:rsidRDefault="00C73BEC" w:rsidP="003C309D">
            <w:pPr>
              <w:pStyle w:val="Address"/>
              <w:ind w:left="409"/>
              <w:rPr>
                <w:rStyle w:val="Hyperlink"/>
                <w:sz w:val="10"/>
              </w:rPr>
            </w:pPr>
          </w:p>
          <w:p w:rsidR="00C73BEC" w:rsidRPr="009A32C6" w:rsidRDefault="00C73BEC" w:rsidP="003C309D">
            <w:pPr>
              <w:pStyle w:val="Address"/>
              <w:ind w:left="409"/>
              <w:rPr>
                <w:sz w:val="18"/>
              </w:rPr>
            </w:pPr>
            <w:r w:rsidRPr="009A32C6">
              <w:rPr>
                <w:sz w:val="18"/>
              </w:rPr>
              <w:t>Sara Barnes, Coordinator</w:t>
            </w:r>
            <w:r w:rsidRPr="009A32C6">
              <w:rPr>
                <w:sz w:val="18"/>
              </w:rPr>
              <w:br/>
              <w:t>School Finance (785) 296-4972</w:t>
            </w:r>
          </w:p>
          <w:p w:rsidR="00C73BEC" w:rsidRPr="009A32C6" w:rsidRDefault="00C73BEC" w:rsidP="003C309D">
            <w:pPr>
              <w:pStyle w:val="Address"/>
              <w:ind w:left="409"/>
              <w:rPr>
                <w:rStyle w:val="Hyperlink"/>
                <w:sz w:val="18"/>
              </w:rPr>
            </w:pPr>
            <w:r w:rsidRPr="009A32C6">
              <w:rPr>
                <w:sz w:val="18"/>
              </w:rPr>
              <w:fldChar w:fldCharType="begin"/>
            </w:r>
            <w:r w:rsidRPr="009A32C6">
              <w:rPr>
                <w:sz w:val="18"/>
              </w:rPr>
              <w:instrText xml:space="preserve"> HYPERLINK "mailto:sbarnes@ksde.org" </w:instrText>
            </w:r>
            <w:r w:rsidRPr="009A32C6">
              <w:rPr>
                <w:sz w:val="18"/>
              </w:rPr>
              <w:fldChar w:fldCharType="separate"/>
            </w:r>
            <w:r w:rsidRPr="009A32C6">
              <w:rPr>
                <w:rStyle w:val="Hyperlink"/>
                <w:sz w:val="18"/>
              </w:rPr>
              <w:t xml:space="preserve">sbarnes@ksde.org </w:t>
            </w:r>
          </w:p>
          <w:p w:rsidR="00C73BEC" w:rsidRPr="00F13D21" w:rsidRDefault="00C73BEC" w:rsidP="003C309D">
            <w:pPr>
              <w:pStyle w:val="Address"/>
              <w:ind w:left="409"/>
              <w:rPr>
                <w:rStyle w:val="Hyperlink"/>
              </w:rPr>
            </w:pPr>
            <w:r w:rsidRPr="009A32C6">
              <w:rPr>
                <w:sz w:val="18"/>
              </w:rPr>
              <w:fldChar w:fldCharType="end"/>
            </w:r>
          </w:p>
        </w:tc>
        <w:tc>
          <w:tcPr>
            <w:tcW w:w="1922" w:type="dxa"/>
            <w:vAlign w:val="center"/>
          </w:tcPr>
          <w:p w:rsidR="00C73BEC" w:rsidRPr="00B02C8C" w:rsidRDefault="0041489B" w:rsidP="003C309D">
            <w:pPr>
              <w:pStyle w:val="Address"/>
            </w:pPr>
            <w:r w:rsidRPr="00724F29">
              <w:rPr>
                <w:noProof/>
              </w:rPr>
              <w:drawing>
                <wp:inline distT="0" distB="0" distL="0" distR="0">
                  <wp:extent cx="504825" cy="8763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876300"/>
                          </a:xfrm>
                          <a:prstGeom prst="rect">
                            <a:avLst/>
                          </a:prstGeom>
                          <a:noFill/>
                          <a:ln>
                            <a:noFill/>
                          </a:ln>
                        </pic:spPr>
                      </pic:pic>
                    </a:graphicData>
                  </a:graphic>
                </wp:inline>
              </w:drawing>
            </w:r>
          </w:p>
          <w:p w:rsidR="00C73BEC" w:rsidRPr="00B02C8C" w:rsidRDefault="00C73BEC" w:rsidP="003C309D">
            <w:pPr>
              <w:pStyle w:val="Address"/>
            </w:pPr>
          </w:p>
        </w:tc>
        <w:tc>
          <w:tcPr>
            <w:tcW w:w="3009" w:type="dxa"/>
            <w:vAlign w:val="center"/>
          </w:tcPr>
          <w:p w:rsidR="00C73BEC" w:rsidRPr="00C73BEC" w:rsidRDefault="00C73BEC" w:rsidP="003C309D">
            <w:pPr>
              <w:pStyle w:val="Address"/>
              <w:ind w:right="285"/>
              <w:rPr>
                <w:rFonts w:cs="Calibri"/>
              </w:rPr>
            </w:pPr>
            <w:r w:rsidRPr="00C73BEC">
              <w:rPr>
                <w:rFonts w:cs="Calibri"/>
              </w:rPr>
              <w:t>Kansas State Department of Education</w:t>
            </w:r>
          </w:p>
          <w:p w:rsidR="00C73BEC" w:rsidRPr="00C73BEC" w:rsidRDefault="00C73BEC" w:rsidP="003C309D">
            <w:pPr>
              <w:pStyle w:val="Address"/>
              <w:rPr>
                <w:rFonts w:cs="Calibri"/>
              </w:rPr>
            </w:pPr>
            <w:r w:rsidRPr="00C73BEC">
              <w:rPr>
                <w:rFonts w:cs="Calibri"/>
              </w:rPr>
              <w:t>900 S.W. Jackson Street, Suite 102</w:t>
            </w:r>
          </w:p>
          <w:p w:rsidR="00C73BEC" w:rsidRPr="00C73BEC" w:rsidRDefault="00C73BEC" w:rsidP="003C309D">
            <w:pPr>
              <w:pStyle w:val="Address"/>
              <w:rPr>
                <w:rFonts w:cs="Calibri"/>
              </w:rPr>
            </w:pPr>
            <w:r w:rsidRPr="00C73BEC">
              <w:rPr>
                <w:rFonts w:cs="Calibri"/>
              </w:rPr>
              <w:t>Topeka, Kansas 66612-1212</w:t>
            </w:r>
          </w:p>
          <w:p w:rsidR="00C73BEC" w:rsidRPr="00C73BEC" w:rsidRDefault="00C73BEC" w:rsidP="003C309D">
            <w:pPr>
              <w:pStyle w:val="Address"/>
              <w:rPr>
                <w:rFonts w:cs="Calibri"/>
              </w:rPr>
            </w:pPr>
            <w:r w:rsidRPr="00C73BEC">
              <w:rPr>
                <w:rFonts w:cs="Calibri"/>
              </w:rPr>
              <w:t>(785) 296-3201</w:t>
            </w:r>
          </w:p>
          <w:p w:rsidR="00C73BEC" w:rsidRPr="00C73BEC" w:rsidRDefault="00857F1D" w:rsidP="003C309D">
            <w:pPr>
              <w:pStyle w:val="Address"/>
              <w:rPr>
                <w:rFonts w:cs="Calibri"/>
              </w:rPr>
            </w:pPr>
            <w:hyperlink r:id="rId14" w:history="1">
              <w:r w:rsidR="00C73BEC" w:rsidRPr="00C73BEC">
                <w:rPr>
                  <w:rStyle w:val="Hyperlink"/>
                  <w:rFonts w:cs="Calibri"/>
                </w:rPr>
                <w:t>www.ksde.org</w:t>
              </w:r>
            </w:hyperlink>
          </w:p>
        </w:tc>
      </w:tr>
    </w:tbl>
    <w:p w:rsidR="005D636F" w:rsidRPr="005921EF" w:rsidRDefault="005D636F" w:rsidP="00C73BEC">
      <w:pPr>
        <w:ind w:left="900"/>
        <w:jc w:val="right"/>
        <w:rPr>
          <w:rFonts w:ascii="Arial Narrow" w:hAnsi="Arial Narrow" w:cstheme="minorHAnsi"/>
          <w:color w:val="0000FF"/>
          <w:sz w:val="20"/>
          <w:szCs w:val="20"/>
          <w:u w:val="single"/>
        </w:rPr>
      </w:pPr>
    </w:p>
    <w:sectPr w:rsidR="005D636F" w:rsidRPr="005921EF" w:rsidSect="005A5387">
      <w:type w:val="continuous"/>
      <w:pgSz w:w="12240" w:h="15840"/>
      <w:pgMar w:top="630" w:right="12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F5A" w:rsidRDefault="00354F5A" w:rsidP="00354F5A">
      <w:r>
        <w:separator/>
      </w:r>
    </w:p>
  </w:endnote>
  <w:endnote w:type="continuationSeparator" w:id="0">
    <w:p w:rsidR="00354F5A" w:rsidRDefault="00354F5A" w:rsidP="0035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F5A" w:rsidRDefault="00354F5A" w:rsidP="00354F5A">
      <w:r>
        <w:separator/>
      </w:r>
    </w:p>
  </w:footnote>
  <w:footnote w:type="continuationSeparator" w:id="0">
    <w:p w:rsidR="00354F5A" w:rsidRDefault="00354F5A" w:rsidP="0035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80498"/>
    <w:multiLevelType w:val="hybridMultilevel"/>
    <w:tmpl w:val="FB88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51"/>
    <w:rsid w:val="00123F70"/>
    <w:rsid w:val="0017169C"/>
    <w:rsid w:val="00354F5A"/>
    <w:rsid w:val="0041489B"/>
    <w:rsid w:val="004F093C"/>
    <w:rsid w:val="00515735"/>
    <w:rsid w:val="00526A8D"/>
    <w:rsid w:val="00565654"/>
    <w:rsid w:val="00577C15"/>
    <w:rsid w:val="005921EF"/>
    <w:rsid w:val="00593F51"/>
    <w:rsid w:val="005A5387"/>
    <w:rsid w:val="005D636F"/>
    <w:rsid w:val="00657977"/>
    <w:rsid w:val="006C2E5E"/>
    <w:rsid w:val="0080212B"/>
    <w:rsid w:val="00807C3C"/>
    <w:rsid w:val="00857F1D"/>
    <w:rsid w:val="00900D26"/>
    <w:rsid w:val="009C19E5"/>
    <w:rsid w:val="009F2ED1"/>
    <w:rsid w:val="00AD36C5"/>
    <w:rsid w:val="00B17967"/>
    <w:rsid w:val="00B87285"/>
    <w:rsid w:val="00BA549C"/>
    <w:rsid w:val="00C20F9D"/>
    <w:rsid w:val="00C27D70"/>
    <w:rsid w:val="00C73BEC"/>
    <w:rsid w:val="00CA094B"/>
    <w:rsid w:val="00D9007C"/>
    <w:rsid w:val="00FB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A071FA"/>
  <w15:docId w15:val="{B4F65E1E-AD7C-40C2-8820-5FB14D24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285"/>
    <w:pPr>
      <w:ind w:left="360"/>
    </w:pPr>
    <w:rPr>
      <w:sz w:val="24"/>
      <w:szCs w:val="24"/>
    </w:rPr>
  </w:style>
  <w:style w:type="paragraph" w:styleId="Heading1">
    <w:name w:val="heading 1"/>
    <w:basedOn w:val="Normal"/>
    <w:link w:val="Heading1Char"/>
    <w:uiPriority w:val="9"/>
    <w:qFormat/>
    <w:rsid w:val="00593F51"/>
    <w:pPr>
      <w:spacing w:before="30" w:after="45"/>
      <w:ind w:left="0"/>
      <w:outlineLvl w:val="0"/>
    </w:pPr>
    <w:rPr>
      <w:rFonts w:eastAsia="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3F51"/>
    <w:rPr>
      <w:rFonts w:eastAsia="Times New Roman" w:cs="Times New Roman"/>
      <w:b/>
      <w:bCs/>
      <w:kern w:val="36"/>
      <w:sz w:val="30"/>
      <w:szCs w:val="30"/>
    </w:rPr>
  </w:style>
  <w:style w:type="paragraph" w:styleId="ListParagraph">
    <w:name w:val="List Paragraph"/>
    <w:basedOn w:val="Normal"/>
    <w:uiPriority w:val="34"/>
    <w:qFormat/>
    <w:rsid w:val="00593F51"/>
    <w:pPr>
      <w:ind w:left="720"/>
      <w:contextualSpacing/>
    </w:pPr>
  </w:style>
  <w:style w:type="paragraph" w:styleId="Header">
    <w:name w:val="header"/>
    <w:basedOn w:val="Normal"/>
    <w:link w:val="HeaderChar"/>
    <w:uiPriority w:val="99"/>
    <w:unhideWhenUsed/>
    <w:rsid w:val="00354F5A"/>
    <w:pPr>
      <w:tabs>
        <w:tab w:val="center" w:pos="4680"/>
        <w:tab w:val="right" w:pos="9360"/>
      </w:tabs>
    </w:pPr>
  </w:style>
  <w:style w:type="character" w:customStyle="1" w:styleId="HeaderChar">
    <w:name w:val="Header Char"/>
    <w:basedOn w:val="DefaultParagraphFont"/>
    <w:link w:val="Header"/>
    <w:uiPriority w:val="99"/>
    <w:rsid w:val="00354F5A"/>
    <w:rPr>
      <w:sz w:val="24"/>
      <w:szCs w:val="24"/>
    </w:rPr>
  </w:style>
  <w:style w:type="paragraph" w:styleId="Footer">
    <w:name w:val="footer"/>
    <w:basedOn w:val="Normal"/>
    <w:link w:val="FooterChar"/>
    <w:uiPriority w:val="99"/>
    <w:unhideWhenUsed/>
    <w:rsid w:val="00354F5A"/>
    <w:pPr>
      <w:tabs>
        <w:tab w:val="center" w:pos="4680"/>
        <w:tab w:val="right" w:pos="9360"/>
      </w:tabs>
    </w:pPr>
  </w:style>
  <w:style w:type="character" w:customStyle="1" w:styleId="FooterChar">
    <w:name w:val="Footer Char"/>
    <w:basedOn w:val="DefaultParagraphFont"/>
    <w:link w:val="Footer"/>
    <w:uiPriority w:val="99"/>
    <w:rsid w:val="00354F5A"/>
    <w:rPr>
      <w:sz w:val="24"/>
      <w:szCs w:val="24"/>
    </w:rPr>
  </w:style>
  <w:style w:type="paragraph" w:styleId="NoSpacing">
    <w:name w:val="No Spacing"/>
    <w:uiPriority w:val="1"/>
    <w:qFormat/>
    <w:rsid w:val="00D9007C"/>
    <w:pPr>
      <w:ind w:left="360"/>
    </w:pPr>
    <w:rPr>
      <w:sz w:val="24"/>
      <w:szCs w:val="24"/>
    </w:rPr>
  </w:style>
  <w:style w:type="character" w:styleId="Hyperlink">
    <w:name w:val="Hyperlink"/>
    <w:unhideWhenUsed/>
    <w:rsid w:val="005D636F"/>
    <w:rPr>
      <w:color w:val="0000FF"/>
      <w:u w:val="single"/>
    </w:rPr>
  </w:style>
  <w:style w:type="character" w:styleId="FollowedHyperlink">
    <w:name w:val="FollowedHyperlink"/>
    <w:basedOn w:val="DefaultParagraphFont"/>
    <w:uiPriority w:val="99"/>
    <w:semiHidden/>
    <w:unhideWhenUsed/>
    <w:rsid w:val="004F093C"/>
    <w:rPr>
      <w:color w:val="800080" w:themeColor="followedHyperlink"/>
      <w:u w:val="single"/>
    </w:rPr>
  </w:style>
  <w:style w:type="paragraph" w:customStyle="1" w:styleId="Address">
    <w:name w:val="Address"/>
    <w:basedOn w:val="Normal"/>
    <w:qFormat/>
    <w:rsid w:val="00C73BEC"/>
    <w:pPr>
      <w:ind w:left="0"/>
      <w:contextualSpacing/>
    </w:pPr>
    <w:rPr>
      <w:rFonts w:ascii="Calibri" w:eastAsia="Times New Roman" w:hAnsi="Calibri"/>
      <w:sz w:val="16"/>
      <w:szCs w:val="16"/>
    </w:rPr>
  </w:style>
  <w:style w:type="table" w:styleId="TableGrid">
    <w:name w:val="Table Grid"/>
    <w:basedOn w:val="TableNormal"/>
    <w:uiPriority w:val="39"/>
    <w:rsid w:val="00C73BEC"/>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revisor.org/statutes/chapters/ch72/072_013_010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srevisor.org/statutes/chapters/ch72/072_013_0101.html" TargetMode="External"/><Relationship Id="rId4" Type="http://schemas.openxmlformats.org/officeDocument/2006/relationships/settings" Target="settings.xml"/><Relationship Id="rId9" Type="http://schemas.openxmlformats.org/officeDocument/2006/relationships/hyperlink" Target="http://ksrevisor.org/statutes/chapters/ch72/072_031_0018.html" TargetMode="Externa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0F75-F6D1-4E8A-B195-159E9BCA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tmilligan</dc:creator>
  <cp:lastModifiedBy>Katie Albright</cp:lastModifiedBy>
  <cp:revision>4</cp:revision>
  <cp:lastPrinted>2020-05-13T19:23:00Z</cp:lastPrinted>
  <dcterms:created xsi:type="dcterms:W3CDTF">2021-03-12T15:36:00Z</dcterms:created>
  <dcterms:modified xsi:type="dcterms:W3CDTF">2021-08-26T14:07:00Z</dcterms:modified>
</cp:coreProperties>
</file>