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A7" w:rsidRPr="00EA1892" w:rsidRDefault="009B17A7" w:rsidP="009B17A7">
      <w:pPr>
        <w:jc w:val="center"/>
        <w:rPr>
          <w:rFonts w:ascii="Verdana" w:hAnsi="Verdana"/>
          <w:b/>
          <w:sz w:val="20"/>
          <w:szCs w:val="20"/>
        </w:rPr>
      </w:pPr>
      <w:r w:rsidRPr="00EA1892">
        <w:rPr>
          <w:rFonts w:ascii="Verdana" w:hAnsi="Verdana"/>
          <w:b/>
          <w:sz w:val="20"/>
          <w:szCs w:val="20"/>
        </w:rPr>
        <w:t>Mileage Reimbursement Form</w:t>
      </w:r>
    </w:p>
    <w:p w:rsidR="009B17A7" w:rsidRPr="00EA1892" w:rsidRDefault="009B17A7" w:rsidP="009B17A7">
      <w:pPr>
        <w:jc w:val="center"/>
        <w:rPr>
          <w:rFonts w:ascii="Verdana" w:hAnsi="Verdana"/>
          <w:sz w:val="20"/>
          <w:szCs w:val="20"/>
        </w:rPr>
      </w:pPr>
    </w:p>
    <w:p w:rsidR="00935D3E" w:rsidRPr="002A3A82" w:rsidRDefault="00935D3E" w:rsidP="00935D3E">
      <w:pPr>
        <w:pStyle w:val="ListParagraph"/>
        <w:numPr>
          <w:ilvl w:val="0"/>
          <w:numId w:val="1"/>
        </w:numPr>
        <w:rPr>
          <w:rFonts w:ascii="Verdana" w:hAnsi="Verdana"/>
          <w:sz w:val="20"/>
          <w:szCs w:val="20"/>
        </w:rPr>
      </w:pPr>
      <w:r w:rsidRPr="002A3A82">
        <w:rPr>
          <w:rFonts w:ascii="Verdana" w:hAnsi="Verdana"/>
          <w:sz w:val="20"/>
          <w:szCs w:val="20"/>
        </w:rPr>
        <w:t>To claim mileage for reimbursement, the Perkin’s IV Grant application must have allocated for this expenditure.</w:t>
      </w:r>
    </w:p>
    <w:p w:rsidR="009B17A7" w:rsidRPr="002A3A82" w:rsidRDefault="009B17A7" w:rsidP="00935D3E">
      <w:pPr>
        <w:pStyle w:val="ListParagraph"/>
        <w:numPr>
          <w:ilvl w:val="0"/>
          <w:numId w:val="1"/>
        </w:numPr>
        <w:rPr>
          <w:rFonts w:ascii="Verdana" w:hAnsi="Verdana"/>
          <w:sz w:val="20"/>
          <w:szCs w:val="20"/>
        </w:rPr>
      </w:pPr>
      <w:r w:rsidRPr="002A3A82">
        <w:rPr>
          <w:rFonts w:ascii="Verdana" w:hAnsi="Verdana"/>
          <w:sz w:val="20"/>
          <w:szCs w:val="20"/>
        </w:rPr>
        <w:t xml:space="preserve">The State </w:t>
      </w:r>
      <w:r w:rsidR="00734009" w:rsidRPr="002A3A82">
        <w:rPr>
          <w:rFonts w:ascii="Verdana" w:hAnsi="Verdana"/>
          <w:sz w:val="20"/>
          <w:szCs w:val="20"/>
        </w:rPr>
        <w:t xml:space="preserve">government </w:t>
      </w:r>
      <w:r w:rsidRPr="002A3A82">
        <w:rPr>
          <w:rFonts w:ascii="Verdana" w:hAnsi="Verdana"/>
          <w:sz w:val="20"/>
          <w:szCs w:val="20"/>
        </w:rPr>
        <w:t>rate for mileage reimbursement is established as the rate for reimbursement in the Perkin’s IV Grant.</w:t>
      </w:r>
    </w:p>
    <w:p w:rsidR="00935D3E" w:rsidRPr="002A3A82" w:rsidRDefault="00935D3E" w:rsidP="00935D3E">
      <w:pPr>
        <w:pStyle w:val="ListParagraph"/>
        <w:numPr>
          <w:ilvl w:val="0"/>
          <w:numId w:val="1"/>
        </w:numPr>
        <w:rPr>
          <w:rFonts w:ascii="Verdana" w:hAnsi="Verdana"/>
          <w:sz w:val="20"/>
          <w:szCs w:val="20"/>
        </w:rPr>
      </w:pPr>
      <w:r w:rsidRPr="002A3A82">
        <w:rPr>
          <w:rFonts w:ascii="Verdana" w:hAnsi="Verdana"/>
          <w:sz w:val="20"/>
          <w:szCs w:val="20"/>
        </w:rPr>
        <w:t xml:space="preserve">Actual cost of </w:t>
      </w:r>
      <w:r w:rsidR="00734009" w:rsidRPr="002A3A82">
        <w:rPr>
          <w:rFonts w:ascii="Verdana" w:hAnsi="Verdana"/>
          <w:sz w:val="20"/>
          <w:szCs w:val="20"/>
        </w:rPr>
        <w:t>fuel, oil, auto repairs and maintenance</w:t>
      </w:r>
      <w:r w:rsidRPr="002A3A82">
        <w:rPr>
          <w:rFonts w:ascii="Verdana" w:hAnsi="Verdana"/>
          <w:sz w:val="20"/>
          <w:szCs w:val="20"/>
        </w:rPr>
        <w:t xml:space="preserve"> </w:t>
      </w:r>
      <w:r w:rsidR="00EA1892" w:rsidRPr="002A3A82">
        <w:rPr>
          <w:rFonts w:ascii="Verdana" w:hAnsi="Verdana"/>
          <w:sz w:val="20"/>
          <w:szCs w:val="20"/>
        </w:rPr>
        <w:t>are</w:t>
      </w:r>
      <w:r w:rsidRPr="002A3A82">
        <w:rPr>
          <w:rFonts w:ascii="Verdana" w:hAnsi="Verdana"/>
          <w:sz w:val="20"/>
          <w:szCs w:val="20"/>
        </w:rPr>
        <w:t xml:space="preserve"> not allowable Perkin’s expenditure</w:t>
      </w:r>
      <w:r w:rsidR="00EA1892" w:rsidRPr="002A3A82">
        <w:rPr>
          <w:rFonts w:ascii="Verdana" w:hAnsi="Verdana"/>
          <w:sz w:val="20"/>
          <w:szCs w:val="20"/>
        </w:rPr>
        <w:t>s</w:t>
      </w:r>
      <w:r w:rsidRPr="002A3A82">
        <w:rPr>
          <w:rFonts w:ascii="Verdana" w:hAnsi="Verdana"/>
          <w:sz w:val="20"/>
          <w:szCs w:val="20"/>
        </w:rPr>
        <w:t>.</w:t>
      </w:r>
    </w:p>
    <w:p w:rsidR="009B17A7" w:rsidRPr="002A3A82" w:rsidRDefault="009B17A7" w:rsidP="009B17A7">
      <w:pPr>
        <w:rPr>
          <w:rFonts w:ascii="Verdana" w:hAnsi="Verdana"/>
          <w:sz w:val="20"/>
          <w:szCs w:val="20"/>
        </w:rPr>
      </w:pPr>
    </w:p>
    <w:p w:rsidR="00935D3E" w:rsidRPr="002A3A82" w:rsidRDefault="00935D3E" w:rsidP="009B17A7">
      <w:pPr>
        <w:rPr>
          <w:rFonts w:ascii="Verdana" w:hAnsi="Verdana"/>
          <w:sz w:val="20"/>
          <w:szCs w:val="20"/>
        </w:rPr>
      </w:pPr>
      <w:r w:rsidRPr="002A3A82">
        <w:rPr>
          <w:rFonts w:ascii="Verdana" w:hAnsi="Verdana"/>
          <w:sz w:val="20"/>
          <w:szCs w:val="20"/>
        </w:rPr>
        <w:t>District Requesting Mileage Reimbursement:  _________________________________________________________________</w:t>
      </w:r>
    </w:p>
    <w:p w:rsidR="00935D3E" w:rsidRPr="002A3A82" w:rsidRDefault="00935D3E" w:rsidP="009B17A7">
      <w:pPr>
        <w:rPr>
          <w:rFonts w:ascii="Verdana" w:hAnsi="Verdana"/>
          <w:sz w:val="20"/>
          <w:szCs w:val="20"/>
        </w:rPr>
      </w:pPr>
    </w:p>
    <w:p w:rsidR="00935D3E" w:rsidRPr="002A3A82" w:rsidRDefault="00935D3E" w:rsidP="009B17A7">
      <w:pPr>
        <w:rPr>
          <w:rFonts w:ascii="Verdana" w:hAnsi="Verdana"/>
          <w:sz w:val="20"/>
          <w:szCs w:val="20"/>
        </w:rPr>
      </w:pPr>
    </w:p>
    <w:tbl>
      <w:tblPr>
        <w:tblStyle w:val="TableGrid"/>
        <w:tblW w:w="0" w:type="auto"/>
        <w:tblLook w:val="04A0"/>
      </w:tblPr>
      <w:tblGrid>
        <w:gridCol w:w="1000"/>
        <w:gridCol w:w="3611"/>
        <w:gridCol w:w="2838"/>
        <w:gridCol w:w="1865"/>
        <w:gridCol w:w="1865"/>
        <w:gridCol w:w="1997"/>
      </w:tblGrid>
      <w:tr w:rsidR="00935D3E" w:rsidRPr="002A3A82" w:rsidTr="00EA1892">
        <w:tc>
          <w:tcPr>
            <w:tcW w:w="1000" w:type="dxa"/>
            <w:shd w:val="clear" w:color="auto" w:fill="BFBFBF" w:themeFill="background1" w:themeFillShade="BF"/>
          </w:tcPr>
          <w:p w:rsidR="009B17A7" w:rsidRPr="002A3A82" w:rsidRDefault="009B17A7" w:rsidP="009B17A7">
            <w:pPr>
              <w:jc w:val="center"/>
              <w:rPr>
                <w:rFonts w:ascii="Verdana" w:hAnsi="Verdana"/>
                <w:b/>
                <w:sz w:val="20"/>
                <w:szCs w:val="20"/>
              </w:rPr>
            </w:pPr>
            <w:r w:rsidRPr="002A3A82">
              <w:rPr>
                <w:rFonts w:ascii="Verdana" w:hAnsi="Verdana"/>
                <w:b/>
                <w:sz w:val="20"/>
                <w:szCs w:val="20"/>
              </w:rPr>
              <w:t>Date</w:t>
            </w:r>
          </w:p>
        </w:tc>
        <w:tc>
          <w:tcPr>
            <w:tcW w:w="3611" w:type="dxa"/>
            <w:shd w:val="clear" w:color="auto" w:fill="BFBFBF" w:themeFill="background1" w:themeFillShade="BF"/>
          </w:tcPr>
          <w:p w:rsidR="009B17A7" w:rsidRPr="002A3A82" w:rsidRDefault="0087483F" w:rsidP="009B17A7">
            <w:pPr>
              <w:jc w:val="center"/>
              <w:rPr>
                <w:rFonts w:ascii="Verdana" w:hAnsi="Verdana"/>
                <w:b/>
                <w:sz w:val="20"/>
                <w:szCs w:val="20"/>
              </w:rPr>
            </w:pPr>
            <w:r w:rsidRPr="002A3A82">
              <w:rPr>
                <w:rFonts w:ascii="Verdana" w:hAnsi="Verdana"/>
                <w:b/>
                <w:sz w:val="20"/>
                <w:szCs w:val="20"/>
              </w:rPr>
              <w:t>Travel Purpose</w:t>
            </w:r>
          </w:p>
        </w:tc>
        <w:tc>
          <w:tcPr>
            <w:tcW w:w="2838" w:type="dxa"/>
            <w:shd w:val="clear" w:color="auto" w:fill="BFBFBF" w:themeFill="background1" w:themeFillShade="BF"/>
          </w:tcPr>
          <w:p w:rsidR="009B17A7" w:rsidRPr="002A3A82" w:rsidRDefault="009B17A7" w:rsidP="009B17A7">
            <w:pPr>
              <w:jc w:val="center"/>
              <w:rPr>
                <w:rFonts w:ascii="Verdana" w:hAnsi="Verdana"/>
                <w:b/>
                <w:sz w:val="20"/>
                <w:szCs w:val="20"/>
              </w:rPr>
            </w:pPr>
            <w:r w:rsidRPr="002A3A82">
              <w:rPr>
                <w:rFonts w:ascii="Verdana" w:hAnsi="Verdana"/>
                <w:b/>
                <w:sz w:val="20"/>
                <w:szCs w:val="20"/>
              </w:rPr>
              <w:t>Destination</w:t>
            </w:r>
          </w:p>
        </w:tc>
        <w:tc>
          <w:tcPr>
            <w:tcW w:w="1865" w:type="dxa"/>
            <w:shd w:val="clear" w:color="auto" w:fill="BFBFBF" w:themeFill="background1" w:themeFillShade="BF"/>
          </w:tcPr>
          <w:p w:rsidR="009B17A7" w:rsidRPr="002A3A82" w:rsidRDefault="009B17A7" w:rsidP="009B17A7">
            <w:pPr>
              <w:jc w:val="center"/>
              <w:rPr>
                <w:rFonts w:ascii="Verdana" w:hAnsi="Verdana"/>
                <w:b/>
                <w:sz w:val="20"/>
                <w:szCs w:val="20"/>
              </w:rPr>
            </w:pPr>
            <w:r w:rsidRPr="002A3A82">
              <w:rPr>
                <w:rFonts w:ascii="Verdana" w:hAnsi="Verdana"/>
                <w:b/>
                <w:sz w:val="20"/>
                <w:szCs w:val="20"/>
              </w:rPr>
              <w:t>Round Trip Mileage</w:t>
            </w:r>
          </w:p>
        </w:tc>
        <w:tc>
          <w:tcPr>
            <w:tcW w:w="1865" w:type="dxa"/>
            <w:shd w:val="clear" w:color="auto" w:fill="BFBFBF" w:themeFill="background1" w:themeFillShade="BF"/>
          </w:tcPr>
          <w:p w:rsidR="009B17A7" w:rsidRPr="002A3A82" w:rsidRDefault="00935D3E" w:rsidP="009B17A7">
            <w:pPr>
              <w:jc w:val="center"/>
              <w:rPr>
                <w:rFonts w:ascii="Verdana" w:hAnsi="Verdana"/>
                <w:b/>
                <w:sz w:val="20"/>
                <w:szCs w:val="20"/>
              </w:rPr>
            </w:pPr>
            <w:r w:rsidRPr="002A3A82">
              <w:rPr>
                <w:rFonts w:ascii="Verdana" w:hAnsi="Verdana"/>
                <w:b/>
                <w:sz w:val="20"/>
                <w:szCs w:val="20"/>
              </w:rPr>
              <w:t>Mileage Rate Per Mile</w:t>
            </w:r>
          </w:p>
        </w:tc>
        <w:tc>
          <w:tcPr>
            <w:tcW w:w="1997" w:type="dxa"/>
            <w:shd w:val="clear" w:color="auto" w:fill="BFBFBF" w:themeFill="background1" w:themeFillShade="BF"/>
          </w:tcPr>
          <w:p w:rsidR="009B17A7" w:rsidRPr="002A3A82" w:rsidRDefault="00935D3E" w:rsidP="009B17A7">
            <w:pPr>
              <w:jc w:val="center"/>
              <w:rPr>
                <w:rFonts w:ascii="Verdana" w:hAnsi="Verdana"/>
                <w:b/>
                <w:sz w:val="20"/>
                <w:szCs w:val="20"/>
              </w:rPr>
            </w:pPr>
            <w:r w:rsidRPr="002A3A82">
              <w:rPr>
                <w:rFonts w:ascii="Verdana" w:hAnsi="Verdana"/>
                <w:b/>
                <w:sz w:val="20"/>
                <w:szCs w:val="20"/>
              </w:rPr>
              <w:t xml:space="preserve">Total Mileage Reimbursement </w:t>
            </w:r>
          </w:p>
        </w:tc>
      </w:tr>
      <w:tr w:rsidR="0087483F" w:rsidRPr="002A3A82" w:rsidTr="00EA1892">
        <w:tc>
          <w:tcPr>
            <w:tcW w:w="1000" w:type="dxa"/>
          </w:tcPr>
          <w:p w:rsidR="009B17A7" w:rsidRPr="002A3A82" w:rsidRDefault="009B17A7" w:rsidP="009B17A7">
            <w:pPr>
              <w:rPr>
                <w:rFonts w:ascii="Verdana" w:hAnsi="Verdana"/>
                <w:sz w:val="20"/>
                <w:szCs w:val="20"/>
              </w:rPr>
            </w:pPr>
          </w:p>
        </w:tc>
        <w:tc>
          <w:tcPr>
            <w:tcW w:w="3611" w:type="dxa"/>
          </w:tcPr>
          <w:p w:rsidR="009B17A7" w:rsidRPr="002A3A82" w:rsidRDefault="009B17A7" w:rsidP="009B17A7">
            <w:pPr>
              <w:rPr>
                <w:rFonts w:ascii="Verdana" w:hAnsi="Verdana"/>
                <w:sz w:val="20"/>
                <w:szCs w:val="20"/>
              </w:rPr>
            </w:pPr>
          </w:p>
        </w:tc>
        <w:tc>
          <w:tcPr>
            <w:tcW w:w="2838"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997" w:type="dxa"/>
          </w:tcPr>
          <w:p w:rsidR="009B17A7" w:rsidRPr="002A3A82" w:rsidRDefault="009B17A7" w:rsidP="009B17A7">
            <w:pPr>
              <w:rPr>
                <w:rFonts w:ascii="Verdana" w:hAnsi="Verdana"/>
                <w:sz w:val="20"/>
                <w:szCs w:val="20"/>
              </w:rPr>
            </w:pPr>
          </w:p>
        </w:tc>
      </w:tr>
      <w:tr w:rsidR="0087483F" w:rsidRPr="002A3A82" w:rsidTr="00EA1892">
        <w:tc>
          <w:tcPr>
            <w:tcW w:w="1000" w:type="dxa"/>
          </w:tcPr>
          <w:p w:rsidR="009B17A7" w:rsidRPr="002A3A82" w:rsidRDefault="009B17A7" w:rsidP="009B17A7">
            <w:pPr>
              <w:rPr>
                <w:rFonts w:ascii="Verdana" w:hAnsi="Verdana"/>
                <w:sz w:val="20"/>
                <w:szCs w:val="20"/>
              </w:rPr>
            </w:pPr>
          </w:p>
        </w:tc>
        <w:tc>
          <w:tcPr>
            <w:tcW w:w="3611" w:type="dxa"/>
          </w:tcPr>
          <w:p w:rsidR="009B17A7" w:rsidRPr="002A3A82" w:rsidRDefault="009B17A7" w:rsidP="009B17A7">
            <w:pPr>
              <w:rPr>
                <w:rFonts w:ascii="Verdana" w:hAnsi="Verdana"/>
                <w:sz w:val="20"/>
                <w:szCs w:val="20"/>
              </w:rPr>
            </w:pPr>
          </w:p>
        </w:tc>
        <w:tc>
          <w:tcPr>
            <w:tcW w:w="2838"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997" w:type="dxa"/>
          </w:tcPr>
          <w:p w:rsidR="009B17A7" w:rsidRPr="002A3A82" w:rsidRDefault="009B17A7" w:rsidP="009B17A7">
            <w:pPr>
              <w:rPr>
                <w:rFonts w:ascii="Verdana" w:hAnsi="Verdana"/>
                <w:sz w:val="20"/>
                <w:szCs w:val="20"/>
              </w:rPr>
            </w:pPr>
          </w:p>
        </w:tc>
      </w:tr>
      <w:tr w:rsidR="0087483F" w:rsidRPr="002A3A82" w:rsidTr="00EA1892">
        <w:tc>
          <w:tcPr>
            <w:tcW w:w="1000" w:type="dxa"/>
          </w:tcPr>
          <w:p w:rsidR="009B17A7" w:rsidRPr="002A3A82" w:rsidRDefault="009B17A7" w:rsidP="009B17A7">
            <w:pPr>
              <w:rPr>
                <w:rFonts w:ascii="Verdana" w:hAnsi="Verdana"/>
                <w:sz w:val="20"/>
                <w:szCs w:val="20"/>
              </w:rPr>
            </w:pPr>
          </w:p>
        </w:tc>
        <w:tc>
          <w:tcPr>
            <w:tcW w:w="3611" w:type="dxa"/>
          </w:tcPr>
          <w:p w:rsidR="009B17A7" w:rsidRPr="002A3A82" w:rsidRDefault="009B17A7" w:rsidP="009B17A7">
            <w:pPr>
              <w:rPr>
                <w:rFonts w:ascii="Verdana" w:hAnsi="Verdana"/>
                <w:sz w:val="20"/>
                <w:szCs w:val="20"/>
              </w:rPr>
            </w:pPr>
          </w:p>
        </w:tc>
        <w:tc>
          <w:tcPr>
            <w:tcW w:w="2838"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997" w:type="dxa"/>
          </w:tcPr>
          <w:p w:rsidR="009B17A7" w:rsidRPr="002A3A82" w:rsidRDefault="009B17A7" w:rsidP="009B17A7">
            <w:pPr>
              <w:rPr>
                <w:rFonts w:ascii="Verdana" w:hAnsi="Verdana"/>
                <w:sz w:val="20"/>
                <w:szCs w:val="20"/>
              </w:rPr>
            </w:pPr>
          </w:p>
        </w:tc>
      </w:tr>
      <w:tr w:rsidR="0087483F" w:rsidRPr="002A3A82" w:rsidTr="00EA1892">
        <w:tc>
          <w:tcPr>
            <w:tcW w:w="1000" w:type="dxa"/>
          </w:tcPr>
          <w:p w:rsidR="009B17A7" w:rsidRPr="002A3A82" w:rsidRDefault="009B17A7" w:rsidP="009B17A7">
            <w:pPr>
              <w:rPr>
                <w:rFonts w:ascii="Verdana" w:hAnsi="Verdana"/>
                <w:sz w:val="20"/>
                <w:szCs w:val="20"/>
              </w:rPr>
            </w:pPr>
          </w:p>
        </w:tc>
        <w:tc>
          <w:tcPr>
            <w:tcW w:w="3611" w:type="dxa"/>
          </w:tcPr>
          <w:p w:rsidR="009B17A7" w:rsidRPr="002A3A82" w:rsidRDefault="009B17A7" w:rsidP="009B17A7">
            <w:pPr>
              <w:rPr>
                <w:rFonts w:ascii="Verdana" w:hAnsi="Verdana"/>
                <w:sz w:val="20"/>
                <w:szCs w:val="20"/>
              </w:rPr>
            </w:pPr>
          </w:p>
        </w:tc>
        <w:tc>
          <w:tcPr>
            <w:tcW w:w="2838"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997" w:type="dxa"/>
          </w:tcPr>
          <w:p w:rsidR="009B17A7" w:rsidRPr="002A3A82" w:rsidRDefault="009B17A7" w:rsidP="009B17A7">
            <w:pPr>
              <w:rPr>
                <w:rFonts w:ascii="Verdana" w:hAnsi="Verdana"/>
                <w:sz w:val="20"/>
                <w:szCs w:val="20"/>
              </w:rPr>
            </w:pPr>
          </w:p>
        </w:tc>
      </w:tr>
      <w:tr w:rsidR="0087483F" w:rsidRPr="002A3A82" w:rsidTr="00EA1892">
        <w:tc>
          <w:tcPr>
            <w:tcW w:w="1000" w:type="dxa"/>
          </w:tcPr>
          <w:p w:rsidR="009B17A7" w:rsidRPr="002A3A82" w:rsidRDefault="009B17A7" w:rsidP="009B17A7">
            <w:pPr>
              <w:rPr>
                <w:rFonts w:ascii="Verdana" w:hAnsi="Verdana"/>
                <w:sz w:val="20"/>
                <w:szCs w:val="20"/>
              </w:rPr>
            </w:pPr>
          </w:p>
        </w:tc>
        <w:tc>
          <w:tcPr>
            <w:tcW w:w="3611" w:type="dxa"/>
          </w:tcPr>
          <w:p w:rsidR="009B17A7" w:rsidRPr="002A3A82" w:rsidRDefault="009B17A7" w:rsidP="009B17A7">
            <w:pPr>
              <w:rPr>
                <w:rFonts w:ascii="Verdana" w:hAnsi="Verdana"/>
                <w:sz w:val="20"/>
                <w:szCs w:val="20"/>
              </w:rPr>
            </w:pPr>
          </w:p>
        </w:tc>
        <w:tc>
          <w:tcPr>
            <w:tcW w:w="2838"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997" w:type="dxa"/>
          </w:tcPr>
          <w:p w:rsidR="009B17A7" w:rsidRPr="002A3A82" w:rsidRDefault="009B17A7" w:rsidP="009B17A7">
            <w:pPr>
              <w:rPr>
                <w:rFonts w:ascii="Verdana" w:hAnsi="Verdana"/>
                <w:sz w:val="20"/>
                <w:szCs w:val="20"/>
              </w:rPr>
            </w:pPr>
          </w:p>
        </w:tc>
      </w:tr>
      <w:tr w:rsidR="0087483F" w:rsidRPr="002A3A82" w:rsidTr="00EA1892">
        <w:tc>
          <w:tcPr>
            <w:tcW w:w="1000" w:type="dxa"/>
          </w:tcPr>
          <w:p w:rsidR="009B17A7" w:rsidRPr="002A3A82" w:rsidRDefault="009B17A7" w:rsidP="009B17A7">
            <w:pPr>
              <w:rPr>
                <w:rFonts w:ascii="Verdana" w:hAnsi="Verdana"/>
                <w:sz w:val="20"/>
                <w:szCs w:val="20"/>
              </w:rPr>
            </w:pPr>
          </w:p>
        </w:tc>
        <w:tc>
          <w:tcPr>
            <w:tcW w:w="3611" w:type="dxa"/>
          </w:tcPr>
          <w:p w:rsidR="009B17A7" w:rsidRPr="002A3A82" w:rsidRDefault="009B17A7" w:rsidP="009B17A7">
            <w:pPr>
              <w:rPr>
                <w:rFonts w:ascii="Verdana" w:hAnsi="Verdana"/>
                <w:sz w:val="20"/>
                <w:szCs w:val="20"/>
              </w:rPr>
            </w:pPr>
          </w:p>
        </w:tc>
        <w:tc>
          <w:tcPr>
            <w:tcW w:w="2838"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997" w:type="dxa"/>
          </w:tcPr>
          <w:p w:rsidR="009B17A7" w:rsidRPr="002A3A82" w:rsidRDefault="009B17A7" w:rsidP="009B17A7">
            <w:pPr>
              <w:rPr>
                <w:rFonts w:ascii="Verdana" w:hAnsi="Verdana"/>
                <w:sz w:val="20"/>
                <w:szCs w:val="20"/>
              </w:rPr>
            </w:pPr>
          </w:p>
        </w:tc>
      </w:tr>
      <w:tr w:rsidR="0087483F" w:rsidRPr="002A3A82" w:rsidTr="00EA1892">
        <w:tc>
          <w:tcPr>
            <w:tcW w:w="1000" w:type="dxa"/>
          </w:tcPr>
          <w:p w:rsidR="009B17A7" w:rsidRPr="002A3A82" w:rsidRDefault="009B17A7" w:rsidP="009B17A7">
            <w:pPr>
              <w:rPr>
                <w:rFonts w:ascii="Verdana" w:hAnsi="Verdana"/>
                <w:sz w:val="20"/>
                <w:szCs w:val="20"/>
              </w:rPr>
            </w:pPr>
          </w:p>
        </w:tc>
        <w:tc>
          <w:tcPr>
            <w:tcW w:w="3611" w:type="dxa"/>
          </w:tcPr>
          <w:p w:rsidR="009B17A7" w:rsidRPr="002A3A82" w:rsidRDefault="009B17A7" w:rsidP="009B17A7">
            <w:pPr>
              <w:rPr>
                <w:rFonts w:ascii="Verdana" w:hAnsi="Verdana"/>
                <w:sz w:val="20"/>
                <w:szCs w:val="20"/>
              </w:rPr>
            </w:pPr>
          </w:p>
        </w:tc>
        <w:tc>
          <w:tcPr>
            <w:tcW w:w="2838"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997" w:type="dxa"/>
          </w:tcPr>
          <w:p w:rsidR="009B17A7" w:rsidRPr="002A3A82" w:rsidRDefault="009B17A7" w:rsidP="009B17A7">
            <w:pPr>
              <w:rPr>
                <w:rFonts w:ascii="Verdana" w:hAnsi="Verdana"/>
                <w:sz w:val="20"/>
                <w:szCs w:val="20"/>
              </w:rPr>
            </w:pPr>
          </w:p>
        </w:tc>
      </w:tr>
      <w:tr w:rsidR="0087483F" w:rsidRPr="002A3A82" w:rsidTr="00EA1892">
        <w:tc>
          <w:tcPr>
            <w:tcW w:w="1000" w:type="dxa"/>
          </w:tcPr>
          <w:p w:rsidR="009B17A7" w:rsidRPr="002A3A82" w:rsidRDefault="009B17A7" w:rsidP="009B17A7">
            <w:pPr>
              <w:rPr>
                <w:rFonts w:ascii="Verdana" w:hAnsi="Verdana"/>
                <w:sz w:val="20"/>
                <w:szCs w:val="20"/>
              </w:rPr>
            </w:pPr>
          </w:p>
        </w:tc>
        <w:tc>
          <w:tcPr>
            <w:tcW w:w="3611" w:type="dxa"/>
          </w:tcPr>
          <w:p w:rsidR="009B17A7" w:rsidRPr="002A3A82" w:rsidRDefault="009B17A7" w:rsidP="009B17A7">
            <w:pPr>
              <w:rPr>
                <w:rFonts w:ascii="Verdana" w:hAnsi="Verdana"/>
                <w:sz w:val="20"/>
                <w:szCs w:val="20"/>
              </w:rPr>
            </w:pPr>
          </w:p>
        </w:tc>
        <w:tc>
          <w:tcPr>
            <w:tcW w:w="2838"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865" w:type="dxa"/>
          </w:tcPr>
          <w:p w:rsidR="009B17A7" w:rsidRPr="002A3A82" w:rsidRDefault="009B17A7" w:rsidP="009B17A7">
            <w:pPr>
              <w:rPr>
                <w:rFonts w:ascii="Verdana" w:hAnsi="Verdana"/>
                <w:sz w:val="20"/>
                <w:szCs w:val="20"/>
              </w:rPr>
            </w:pPr>
          </w:p>
        </w:tc>
        <w:tc>
          <w:tcPr>
            <w:tcW w:w="1997" w:type="dxa"/>
          </w:tcPr>
          <w:p w:rsidR="009B17A7" w:rsidRPr="002A3A82" w:rsidRDefault="009B17A7" w:rsidP="009B17A7">
            <w:pPr>
              <w:rPr>
                <w:rFonts w:ascii="Verdana" w:hAnsi="Verdana"/>
                <w:sz w:val="20"/>
                <w:szCs w:val="20"/>
              </w:rPr>
            </w:pPr>
          </w:p>
        </w:tc>
      </w:tr>
      <w:tr w:rsidR="00EA1892" w:rsidRPr="002A3A82" w:rsidTr="00EA1892">
        <w:tc>
          <w:tcPr>
            <w:tcW w:w="1000" w:type="dxa"/>
          </w:tcPr>
          <w:p w:rsidR="00EA1892" w:rsidRPr="002A3A82" w:rsidRDefault="00EA1892" w:rsidP="009B17A7">
            <w:pPr>
              <w:rPr>
                <w:rFonts w:ascii="Verdana" w:hAnsi="Verdana"/>
                <w:sz w:val="20"/>
                <w:szCs w:val="20"/>
              </w:rPr>
            </w:pPr>
          </w:p>
        </w:tc>
        <w:tc>
          <w:tcPr>
            <w:tcW w:w="3611" w:type="dxa"/>
          </w:tcPr>
          <w:p w:rsidR="00EA1892" w:rsidRPr="002A3A82" w:rsidRDefault="00EA1892" w:rsidP="009B17A7">
            <w:pPr>
              <w:rPr>
                <w:rFonts w:ascii="Verdana" w:hAnsi="Verdana"/>
                <w:sz w:val="20"/>
                <w:szCs w:val="20"/>
              </w:rPr>
            </w:pPr>
          </w:p>
        </w:tc>
        <w:tc>
          <w:tcPr>
            <w:tcW w:w="2838" w:type="dxa"/>
          </w:tcPr>
          <w:p w:rsidR="00EA1892" w:rsidRPr="002A3A82" w:rsidRDefault="00EA1892" w:rsidP="009B17A7">
            <w:pPr>
              <w:rPr>
                <w:rFonts w:ascii="Verdana" w:hAnsi="Verdana"/>
                <w:sz w:val="20"/>
                <w:szCs w:val="20"/>
              </w:rPr>
            </w:pPr>
          </w:p>
        </w:tc>
        <w:tc>
          <w:tcPr>
            <w:tcW w:w="1865" w:type="dxa"/>
          </w:tcPr>
          <w:p w:rsidR="00EA1892" w:rsidRPr="002A3A82" w:rsidRDefault="00EA1892" w:rsidP="009B17A7">
            <w:pPr>
              <w:rPr>
                <w:rFonts w:ascii="Verdana" w:hAnsi="Verdana"/>
                <w:sz w:val="20"/>
                <w:szCs w:val="20"/>
              </w:rPr>
            </w:pPr>
          </w:p>
        </w:tc>
        <w:tc>
          <w:tcPr>
            <w:tcW w:w="1865" w:type="dxa"/>
          </w:tcPr>
          <w:p w:rsidR="00EA1892" w:rsidRPr="002A3A82" w:rsidRDefault="00EA1892" w:rsidP="009B17A7">
            <w:pPr>
              <w:rPr>
                <w:rFonts w:ascii="Verdana" w:hAnsi="Verdana"/>
                <w:sz w:val="20"/>
                <w:szCs w:val="20"/>
              </w:rPr>
            </w:pPr>
          </w:p>
        </w:tc>
        <w:tc>
          <w:tcPr>
            <w:tcW w:w="1997" w:type="dxa"/>
          </w:tcPr>
          <w:p w:rsidR="00EA1892" w:rsidRPr="002A3A82" w:rsidRDefault="00EA1892" w:rsidP="009B17A7">
            <w:pPr>
              <w:rPr>
                <w:rFonts w:ascii="Verdana" w:hAnsi="Verdana"/>
                <w:sz w:val="20"/>
                <w:szCs w:val="20"/>
              </w:rPr>
            </w:pPr>
          </w:p>
        </w:tc>
      </w:tr>
      <w:tr w:rsidR="00EA1892" w:rsidRPr="002A3A82" w:rsidTr="00EA1892">
        <w:tc>
          <w:tcPr>
            <w:tcW w:w="1000" w:type="dxa"/>
          </w:tcPr>
          <w:p w:rsidR="00EA1892" w:rsidRPr="002A3A82" w:rsidRDefault="00EA1892" w:rsidP="009B17A7">
            <w:pPr>
              <w:rPr>
                <w:rFonts w:ascii="Verdana" w:hAnsi="Verdana"/>
                <w:sz w:val="20"/>
                <w:szCs w:val="20"/>
              </w:rPr>
            </w:pPr>
          </w:p>
        </w:tc>
        <w:tc>
          <w:tcPr>
            <w:tcW w:w="3611" w:type="dxa"/>
          </w:tcPr>
          <w:p w:rsidR="00EA1892" w:rsidRPr="002A3A82" w:rsidRDefault="00EA1892" w:rsidP="009B17A7">
            <w:pPr>
              <w:rPr>
                <w:rFonts w:ascii="Verdana" w:hAnsi="Verdana"/>
                <w:sz w:val="20"/>
                <w:szCs w:val="20"/>
              </w:rPr>
            </w:pPr>
          </w:p>
        </w:tc>
        <w:tc>
          <w:tcPr>
            <w:tcW w:w="2838" w:type="dxa"/>
          </w:tcPr>
          <w:p w:rsidR="00EA1892" w:rsidRPr="002A3A82" w:rsidRDefault="00EA1892" w:rsidP="009B17A7">
            <w:pPr>
              <w:rPr>
                <w:rFonts w:ascii="Verdana" w:hAnsi="Verdana"/>
                <w:sz w:val="20"/>
                <w:szCs w:val="20"/>
              </w:rPr>
            </w:pPr>
          </w:p>
        </w:tc>
        <w:tc>
          <w:tcPr>
            <w:tcW w:w="1865" w:type="dxa"/>
          </w:tcPr>
          <w:p w:rsidR="00EA1892" w:rsidRPr="002A3A82" w:rsidRDefault="00EA1892" w:rsidP="009B17A7">
            <w:pPr>
              <w:rPr>
                <w:rFonts w:ascii="Verdana" w:hAnsi="Verdana"/>
                <w:sz w:val="20"/>
                <w:szCs w:val="20"/>
              </w:rPr>
            </w:pPr>
          </w:p>
        </w:tc>
        <w:tc>
          <w:tcPr>
            <w:tcW w:w="1865" w:type="dxa"/>
          </w:tcPr>
          <w:p w:rsidR="00EA1892" w:rsidRPr="002A3A82" w:rsidRDefault="00EA1892" w:rsidP="009B17A7">
            <w:pPr>
              <w:rPr>
                <w:rFonts w:ascii="Verdana" w:hAnsi="Verdana"/>
                <w:sz w:val="20"/>
                <w:szCs w:val="20"/>
              </w:rPr>
            </w:pPr>
          </w:p>
        </w:tc>
        <w:tc>
          <w:tcPr>
            <w:tcW w:w="1997" w:type="dxa"/>
          </w:tcPr>
          <w:p w:rsidR="00EA1892" w:rsidRPr="002A3A82" w:rsidRDefault="00EA1892" w:rsidP="009B17A7">
            <w:pPr>
              <w:rPr>
                <w:rFonts w:ascii="Verdana" w:hAnsi="Verdana"/>
                <w:sz w:val="20"/>
                <w:szCs w:val="20"/>
              </w:rPr>
            </w:pPr>
          </w:p>
        </w:tc>
      </w:tr>
    </w:tbl>
    <w:p w:rsidR="009B17A7" w:rsidRPr="002A3A82" w:rsidRDefault="009B17A7" w:rsidP="009B17A7">
      <w:pPr>
        <w:rPr>
          <w:rFonts w:ascii="Verdana" w:hAnsi="Verdana"/>
          <w:sz w:val="20"/>
          <w:szCs w:val="20"/>
        </w:rPr>
      </w:pPr>
    </w:p>
    <w:p w:rsidR="00935D3E" w:rsidRPr="002A3A82" w:rsidRDefault="00935D3E" w:rsidP="009B17A7">
      <w:pPr>
        <w:rPr>
          <w:rFonts w:ascii="Verdana" w:hAnsi="Verdana"/>
          <w:sz w:val="20"/>
          <w:szCs w:val="20"/>
        </w:rPr>
      </w:pPr>
    </w:p>
    <w:p w:rsidR="00935D3E" w:rsidRPr="002A3A82" w:rsidRDefault="00935D3E" w:rsidP="009B17A7">
      <w:pPr>
        <w:rPr>
          <w:rFonts w:ascii="Verdana" w:hAnsi="Verdana"/>
          <w:sz w:val="20"/>
          <w:szCs w:val="20"/>
        </w:rPr>
      </w:pPr>
      <w:r w:rsidRPr="002A3A82">
        <w:rPr>
          <w:rFonts w:ascii="Verdana" w:hAnsi="Verdana"/>
          <w:sz w:val="20"/>
          <w:szCs w:val="20"/>
        </w:rPr>
        <w:t>_______________________________________________________________</w:t>
      </w:r>
      <w:r w:rsidRPr="002A3A82">
        <w:rPr>
          <w:rFonts w:ascii="Verdana" w:hAnsi="Verdana"/>
          <w:sz w:val="20"/>
          <w:szCs w:val="20"/>
        </w:rPr>
        <w:tab/>
      </w:r>
      <w:r w:rsidRPr="002A3A82">
        <w:rPr>
          <w:rFonts w:ascii="Verdana" w:hAnsi="Verdana"/>
          <w:sz w:val="20"/>
          <w:szCs w:val="20"/>
        </w:rPr>
        <w:tab/>
      </w:r>
      <w:r w:rsidRPr="002A3A82">
        <w:rPr>
          <w:rFonts w:ascii="Verdana" w:hAnsi="Verdana"/>
          <w:sz w:val="20"/>
          <w:szCs w:val="20"/>
        </w:rPr>
        <w:tab/>
        <w:t>______________________</w:t>
      </w:r>
    </w:p>
    <w:p w:rsidR="00935D3E" w:rsidRPr="002A3A82" w:rsidRDefault="00935D3E" w:rsidP="009B17A7">
      <w:pPr>
        <w:rPr>
          <w:rFonts w:ascii="Verdana" w:hAnsi="Verdana"/>
          <w:b/>
          <w:i/>
          <w:sz w:val="20"/>
          <w:szCs w:val="20"/>
        </w:rPr>
      </w:pPr>
      <w:r w:rsidRPr="002A3A82">
        <w:rPr>
          <w:rFonts w:ascii="Verdana" w:hAnsi="Verdana"/>
          <w:b/>
          <w:i/>
          <w:sz w:val="20"/>
          <w:szCs w:val="20"/>
        </w:rPr>
        <w:t>Signature of Staff Member Requesting Mileage Reimbursement</w:t>
      </w:r>
      <w:r w:rsidRPr="002A3A82">
        <w:rPr>
          <w:rFonts w:ascii="Verdana" w:hAnsi="Verdana"/>
          <w:b/>
          <w:i/>
          <w:sz w:val="20"/>
          <w:szCs w:val="20"/>
        </w:rPr>
        <w:tab/>
      </w:r>
      <w:r w:rsidRPr="002A3A82">
        <w:rPr>
          <w:rFonts w:ascii="Verdana" w:hAnsi="Verdana"/>
          <w:b/>
          <w:i/>
          <w:sz w:val="20"/>
          <w:szCs w:val="20"/>
        </w:rPr>
        <w:tab/>
      </w:r>
      <w:r w:rsidRPr="002A3A82">
        <w:rPr>
          <w:rFonts w:ascii="Verdana" w:hAnsi="Verdana"/>
          <w:b/>
          <w:i/>
          <w:sz w:val="20"/>
          <w:szCs w:val="20"/>
        </w:rPr>
        <w:tab/>
      </w:r>
      <w:r w:rsidRPr="002A3A82">
        <w:rPr>
          <w:rFonts w:ascii="Verdana" w:hAnsi="Verdana"/>
          <w:b/>
          <w:i/>
          <w:sz w:val="20"/>
          <w:szCs w:val="20"/>
        </w:rPr>
        <w:tab/>
      </w:r>
      <w:r w:rsidRPr="002A3A82">
        <w:rPr>
          <w:rFonts w:ascii="Verdana" w:hAnsi="Verdana"/>
          <w:b/>
          <w:i/>
          <w:sz w:val="20"/>
          <w:szCs w:val="20"/>
        </w:rPr>
        <w:tab/>
      </w:r>
      <w:r w:rsidRPr="002A3A82">
        <w:rPr>
          <w:rFonts w:ascii="Verdana" w:hAnsi="Verdana"/>
          <w:b/>
          <w:i/>
          <w:sz w:val="20"/>
          <w:szCs w:val="20"/>
        </w:rPr>
        <w:tab/>
        <w:t>Date</w:t>
      </w:r>
    </w:p>
    <w:p w:rsidR="0087483F" w:rsidRPr="002A3A82" w:rsidRDefault="0087483F" w:rsidP="009B17A7">
      <w:pPr>
        <w:rPr>
          <w:rFonts w:ascii="Verdana" w:hAnsi="Verdana"/>
          <w:b/>
          <w:i/>
          <w:sz w:val="20"/>
          <w:szCs w:val="20"/>
        </w:rPr>
      </w:pPr>
    </w:p>
    <w:p w:rsidR="0087483F" w:rsidRPr="002A3A82" w:rsidRDefault="0087483F" w:rsidP="009B17A7">
      <w:pPr>
        <w:rPr>
          <w:rFonts w:ascii="Verdana" w:hAnsi="Verdana"/>
          <w:b/>
          <w:i/>
          <w:sz w:val="20"/>
          <w:szCs w:val="20"/>
        </w:rPr>
      </w:pPr>
    </w:p>
    <w:p w:rsidR="00EA1892" w:rsidRPr="002A3A82" w:rsidRDefault="00EA1892" w:rsidP="00EA1892">
      <w:pPr>
        <w:autoSpaceDE w:val="0"/>
        <w:autoSpaceDN w:val="0"/>
        <w:adjustRightInd w:val="0"/>
        <w:spacing w:line="288" w:lineRule="auto"/>
        <w:ind w:left="360" w:right="360"/>
        <w:jc w:val="center"/>
        <w:textAlignment w:val="center"/>
        <w:rPr>
          <w:rFonts w:ascii="Verdana" w:hAnsi="Verdana" w:cs="Arial"/>
          <w:b/>
          <w:bCs/>
          <w:color w:val="000000"/>
          <w:sz w:val="20"/>
          <w:szCs w:val="20"/>
        </w:rPr>
      </w:pPr>
    </w:p>
    <w:p w:rsidR="008918D1" w:rsidRPr="002A3A82" w:rsidRDefault="008918D1" w:rsidP="00EA1892">
      <w:pPr>
        <w:autoSpaceDE w:val="0"/>
        <w:autoSpaceDN w:val="0"/>
        <w:adjustRightInd w:val="0"/>
        <w:spacing w:line="288" w:lineRule="auto"/>
        <w:ind w:left="360" w:right="360"/>
        <w:jc w:val="center"/>
        <w:textAlignment w:val="center"/>
        <w:rPr>
          <w:rFonts w:ascii="Verdana" w:hAnsi="Verdana" w:cs="Arial"/>
          <w:b/>
          <w:bCs/>
          <w:color w:val="000000"/>
          <w:sz w:val="18"/>
          <w:szCs w:val="18"/>
        </w:rPr>
      </w:pPr>
    </w:p>
    <w:p w:rsidR="00EA1892" w:rsidRPr="002A3A82" w:rsidRDefault="00EA1892" w:rsidP="00EA1892">
      <w:pPr>
        <w:autoSpaceDE w:val="0"/>
        <w:autoSpaceDN w:val="0"/>
        <w:adjustRightInd w:val="0"/>
        <w:spacing w:line="288" w:lineRule="auto"/>
        <w:ind w:left="360" w:right="360"/>
        <w:jc w:val="center"/>
        <w:textAlignment w:val="center"/>
        <w:rPr>
          <w:rFonts w:ascii="Verdana" w:hAnsi="Verdana" w:cs="Arial"/>
          <w:b/>
          <w:bCs/>
          <w:color w:val="000000"/>
          <w:sz w:val="18"/>
          <w:szCs w:val="18"/>
        </w:rPr>
      </w:pPr>
      <w:r w:rsidRPr="002A3A82">
        <w:rPr>
          <w:rFonts w:ascii="Verdana" w:hAnsi="Verdana" w:cs="Arial"/>
          <w:b/>
          <w:bCs/>
          <w:color w:val="000000"/>
          <w:sz w:val="18"/>
          <w:szCs w:val="18"/>
        </w:rPr>
        <w:t>An Equal Employment/Educational Opportunity Agency</w:t>
      </w:r>
    </w:p>
    <w:p w:rsidR="00EA1892" w:rsidRPr="002A3A82" w:rsidRDefault="00EA1892" w:rsidP="00EA1892">
      <w:pPr>
        <w:autoSpaceDE w:val="0"/>
        <w:autoSpaceDN w:val="0"/>
        <w:adjustRightInd w:val="0"/>
        <w:spacing w:line="288" w:lineRule="auto"/>
        <w:ind w:left="360" w:right="360"/>
        <w:textAlignment w:val="center"/>
        <w:rPr>
          <w:rFonts w:ascii="Verdana" w:hAnsi="Verdana" w:cs="Arial"/>
          <w:color w:val="000000"/>
          <w:sz w:val="18"/>
          <w:szCs w:val="18"/>
        </w:rPr>
      </w:pPr>
      <w:r w:rsidRPr="002A3A82">
        <w:rPr>
          <w:rFonts w:ascii="Verdana" w:hAnsi="Verdana" w:cs="Arial"/>
          <w:color w:val="000000"/>
          <w:sz w:val="18"/>
          <w:szCs w:val="18"/>
        </w:rPr>
        <w:t>The Kansas State Department of Education does not discriminate on the basis of race, color, national origin, sex, disability, or age in its programs and activities.  The following person has been designated to handle inquiries regarding the non-discrimination policies:</w:t>
      </w:r>
    </w:p>
    <w:p w:rsidR="00EA1892" w:rsidRPr="002A3A82" w:rsidRDefault="00EA1892" w:rsidP="00EA1892">
      <w:pPr>
        <w:autoSpaceDE w:val="0"/>
        <w:autoSpaceDN w:val="0"/>
        <w:adjustRightInd w:val="0"/>
        <w:spacing w:line="288" w:lineRule="auto"/>
        <w:ind w:left="720" w:right="360"/>
        <w:jc w:val="center"/>
        <w:textAlignment w:val="center"/>
        <w:rPr>
          <w:rFonts w:ascii="Verdana" w:hAnsi="Verdana" w:cs="Arial"/>
          <w:color w:val="000000"/>
          <w:sz w:val="18"/>
          <w:szCs w:val="18"/>
        </w:rPr>
      </w:pPr>
      <w:r w:rsidRPr="002A3A82">
        <w:rPr>
          <w:rFonts w:ascii="Verdana" w:hAnsi="Verdana" w:cs="Arial"/>
          <w:color w:val="000000"/>
          <w:sz w:val="18"/>
          <w:szCs w:val="18"/>
        </w:rPr>
        <w:t>KSDE General Counsel</w:t>
      </w:r>
    </w:p>
    <w:p w:rsidR="00EA1892" w:rsidRPr="002A3A82" w:rsidRDefault="00EA1892" w:rsidP="00EA1892">
      <w:pPr>
        <w:autoSpaceDE w:val="0"/>
        <w:autoSpaceDN w:val="0"/>
        <w:adjustRightInd w:val="0"/>
        <w:spacing w:line="288" w:lineRule="auto"/>
        <w:ind w:left="720" w:right="360"/>
        <w:jc w:val="center"/>
        <w:textAlignment w:val="center"/>
        <w:rPr>
          <w:rFonts w:ascii="Verdana" w:hAnsi="Verdana" w:cs="Arial"/>
          <w:color w:val="000000"/>
          <w:sz w:val="18"/>
          <w:szCs w:val="18"/>
        </w:rPr>
      </w:pPr>
      <w:r w:rsidRPr="002A3A82">
        <w:rPr>
          <w:rFonts w:ascii="Verdana" w:hAnsi="Verdana" w:cs="Arial"/>
          <w:color w:val="000000"/>
          <w:sz w:val="18"/>
          <w:szCs w:val="18"/>
        </w:rPr>
        <w:t>120 SE 10th Ave.</w:t>
      </w:r>
    </w:p>
    <w:p w:rsidR="00EA1892" w:rsidRPr="002A3A82" w:rsidRDefault="00EA1892" w:rsidP="00EA1892">
      <w:pPr>
        <w:autoSpaceDE w:val="0"/>
        <w:autoSpaceDN w:val="0"/>
        <w:adjustRightInd w:val="0"/>
        <w:spacing w:line="288" w:lineRule="auto"/>
        <w:ind w:left="720" w:right="360"/>
        <w:jc w:val="center"/>
        <w:textAlignment w:val="center"/>
        <w:rPr>
          <w:rFonts w:ascii="Verdana" w:hAnsi="Verdana" w:cs="Arial"/>
          <w:color w:val="000000"/>
          <w:sz w:val="18"/>
          <w:szCs w:val="18"/>
        </w:rPr>
      </w:pPr>
      <w:r w:rsidRPr="002A3A82">
        <w:rPr>
          <w:rFonts w:ascii="Verdana" w:hAnsi="Verdana" w:cs="Arial"/>
          <w:color w:val="000000"/>
          <w:sz w:val="18"/>
          <w:szCs w:val="18"/>
        </w:rPr>
        <w:t>Topeka, KS 66612</w:t>
      </w:r>
    </w:p>
    <w:p w:rsidR="00EA1892" w:rsidRPr="002A3A82" w:rsidRDefault="00EA1892" w:rsidP="00EA1892">
      <w:pPr>
        <w:autoSpaceDE w:val="0"/>
        <w:autoSpaceDN w:val="0"/>
        <w:adjustRightInd w:val="0"/>
        <w:spacing w:line="288" w:lineRule="auto"/>
        <w:ind w:left="720" w:right="360"/>
        <w:jc w:val="center"/>
        <w:textAlignment w:val="center"/>
        <w:rPr>
          <w:rFonts w:ascii="Verdana" w:hAnsi="Verdana" w:cs="Arial"/>
          <w:color w:val="000000"/>
          <w:sz w:val="18"/>
          <w:szCs w:val="18"/>
        </w:rPr>
      </w:pPr>
      <w:r w:rsidRPr="002A3A82">
        <w:rPr>
          <w:rFonts w:ascii="Verdana" w:hAnsi="Verdana" w:cs="Arial"/>
          <w:color w:val="000000"/>
          <w:sz w:val="18"/>
          <w:szCs w:val="18"/>
        </w:rPr>
        <w:t>785-296-3204</w:t>
      </w:r>
    </w:p>
    <w:p w:rsidR="00934CA8" w:rsidRPr="002A3A82" w:rsidRDefault="00934CA8" w:rsidP="0087483F">
      <w:pPr>
        <w:jc w:val="center"/>
        <w:rPr>
          <w:rFonts w:ascii="Verdana" w:hAnsi="Verdana"/>
          <w:b/>
          <w:sz w:val="28"/>
          <w:szCs w:val="28"/>
        </w:rPr>
      </w:pPr>
      <w:r w:rsidRPr="002A3A82">
        <w:rPr>
          <w:rFonts w:ascii="Verdana" w:hAnsi="Verdana"/>
          <w:b/>
          <w:sz w:val="28"/>
          <w:szCs w:val="28"/>
        </w:rPr>
        <w:lastRenderedPageBreak/>
        <w:t>Federal and State Perspectives</w:t>
      </w:r>
      <w:r w:rsidR="0087483F" w:rsidRPr="002A3A82">
        <w:rPr>
          <w:rFonts w:ascii="Verdana" w:hAnsi="Verdana"/>
          <w:b/>
          <w:sz w:val="28"/>
          <w:szCs w:val="28"/>
        </w:rPr>
        <w:t xml:space="preserve"> for Mileage Reimbursement</w:t>
      </w:r>
      <w:r w:rsidRPr="002A3A82">
        <w:rPr>
          <w:rFonts w:ascii="Verdana" w:hAnsi="Verdana"/>
          <w:b/>
          <w:sz w:val="28"/>
          <w:szCs w:val="28"/>
        </w:rPr>
        <w:t xml:space="preserve"> </w:t>
      </w:r>
    </w:p>
    <w:p w:rsidR="0087483F" w:rsidRPr="002A3A82" w:rsidRDefault="00934CA8" w:rsidP="0087483F">
      <w:pPr>
        <w:jc w:val="center"/>
        <w:rPr>
          <w:rFonts w:ascii="Verdana" w:hAnsi="Verdana"/>
          <w:b/>
          <w:sz w:val="28"/>
          <w:szCs w:val="28"/>
        </w:rPr>
      </w:pPr>
      <w:r w:rsidRPr="002A3A82">
        <w:rPr>
          <w:rFonts w:ascii="Verdana" w:hAnsi="Verdana"/>
          <w:b/>
          <w:sz w:val="28"/>
          <w:szCs w:val="28"/>
        </w:rPr>
        <w:t xml:space="preserve">Carl D. Perkins </w:t>
      </w:r>
      <w:r w:rsidR="008918D1" w:rsidRPr="002A3A82">
        <w:rPr>
          <w:rFonts w:ascii="Verdana" w:hAnsi="Verdana"/>
          <w:b/>
          <w:sz w:val="28"/>
          <w:szCs w:val="28"/>
        </w:rPr>
        <w:t>Career and Technical Education Act of 2006</w:t>
      </w:r>
    </w:p>
    <w:p w:rsidR="0087483F" w:rsidRPr="002A3A82" w:rsidRDefault="0087483F" w:rsidP="0087483F">
      <w:pPr>
        <w:jc w:val="center"/>
        <w:rPr>
          <w:rFonts w:ascii="Verdana" w:hAnsi="Verdana"/>
          <w:b/>
          <w:sz w:val="28"/>
          <w:szCs w:val="28"/>
        </w:rPr>
      </w:pPr>
    </w:p>
    <w:tbl>
      <w:tblPr>
        <w:tblStyle w:val="TableGrid"/>
        <w:tblW w:w="0" w:type="auto"/>
        <w:tblLayout w:type="fixed"/>
        <w:tblLook w:val="04A0"/>
      </w:tblPr>
      <w:tblGrid>
        <w:gridCol w:w="4338"/>
        <w:gridCol w:w="4680"/>
        <w:gridCol w:w="4158"/>
      </w:tblGrid>
      <w:tr w:rsidR="0087483F" w:rsidRPr="002A3A82" w:rsidTr="0042045E">
        <w:tc>
          <w:tcPr>
            <w:tcW w:w="4338" w:type="dxa"/>
            <w:shd w:val="clear" w:color="auto" w:fill="BFBFBF" w:themeFill="background1" w:themeFillShade="BF"/>
          </w:tcPr>
          <w:p w:rsidR="0087483F" w:rsidRPr="002A3A82" w:rsidRDefault="0087483F" w:rsidP="0042045E">
            <w:pPr>
              <w:jc w:val="center"/>
              <w:rPr>
                <w:rFonts w:ascii="Verdana" w:hAnsi="Verdana"/>
                <w:b/>
                <w:sz w:val="28"/>
                <w:szCs w:val="28"/>
              </w:rPr>
            </w:pPr>
            <w:r w:rsidRPr="002A3A82">
              <w:rPr>
                <w:rFonts w:ascii="Verdana" w:hAnsi="Verdana"/>
                <w:b/>
                <w:sz w:val="28"/>
                <w:szCs w:val="28"/>
              </w:rPr>
              <w:t>Federal</w:t>
            </w:r>
            <w:r w:rsidR="006236FC" w:rsidRPr="002A3A82">
              <w:rPr>
                <w:rFonts w:ascii="Verdana" w:hAnsi="Verdana"/>
                <w:b/>
                <w:sz w:val="28"/>
                <w:szCs w:val="28"/>
              </w:rPr>
              <w:t xml:space="preserve"> </w:t>
            </w:r>
            <w:r w:rsidR="00934CA8" w:rsidRPr="002A3A82">
              <w:rPr>
                <w:rFonts w:ascii="Verdana" w:hAnsi="Verdana"/>
                <w:b/>
                <w:sz w:val="28"/>
                <w:szCs w:val="28"/>
              </w:rPr>
              <w:t>Perspective</w:t>
            </w:r>
          </w:p>
          <w:p w:rsidR="00141A57" w:rsidRPr="002A3A82" w:rsidRDefault="00141A57" w:rsidP="00141A57">
            <w:pPr>
              <w:jc w:val="center"/>
              <w:rPr>
                <w:rFonts w:ascii="Verdana" w:hAnsi="Verdana"/>
                <w:b/>
                <w:sz w:val="28"/>
                <w:szCs w:val="28"/>
              </w:rPr>
            </w:pPr>
            <w:r w:rsidRPr="002A3A82">
              <w:rPr>
                <w:rFonts w:ascii="Verdana" w:hAnsi="Verdana"/>
                <w:b/>
                <w:sz w:val="28"/>
                <w:szCs w:val="28"/>
              </w:rPr>
              <w:t>OMB Circular A-87</w:t>
            </w:r>
          </w:p>
          <w:p w:rsidR="00141A57" w:rsidRPr="002A3A82" w:rsidRDefault="00141A57" w:rsidP="00141A57">
            <w:pPr>
              <w:rPr>
                <w:rFonts w:ascii="Verdana" w:hAnsi="Verdana"/>
                <w:b/>
                <w:sz w:val="28"/>
                <w:szCs w:val="28"/>
              </w:rPr>
            </w:pPr>
          </w:p>
          <w:p w:rsidR="00141A57" w:rsidRPr="002A3A82" w:rsidRDefault="00141A57" w:rsidP="0042045E">
            <w:pPr>
              <w:jc w:val="center"/>
              <w:rPr>
                <w:rFonts w:ascii="Verdana" w:hAnsi="Verdana"/>
                <w:b/>
                <w:sz w:val="28"/>
                <w:szCs w:val="28"/>
              </w:rPr>
            </w:pPr>
          </w:p>
        </w:tc>
        <w:tc>
          <w:tcPr>
            <w:tcW w:w="4680" w:type="dxa"/>
            <w:shd w:val="clear" w:color="auto" w:fill="BFBFBF" w:themeFill="background1" w:themeFillShade="BF"/>
          </w:tcPr>
          <w:p w:rsidR="006236FC" w:rsidRPr="002A3A82" w:rsidRDefault="006236FC" w:rsidP="006236FC">
            <w:pPr>
              <w:jc w:val="center"/>
              <w:rPr>
                <w:rFonts w:ascii="Verdana" w:eastAsia="Times New Roman" w:hAnsi="Verdana" w:cs="Times New Roman"/>
                <w:b/>
                <w:sz w:val="28"/>
                <w:szCs w:val="28"/>
              </w:rPr>
            </w:pPr>
            <w:r w:rsidRPr="002A3A82">
              <w:rPr>
                <w:rFonts w:ascii="Verdana" w:eastAsia="Times New Roman" w:hAnsi="Verdana" w:cs="Times New Roman"/>
                <w:b/>
                <w:sz w:val="28"/>
                <w:szCs w:val="28"/>
              </w:rPr>
              <w:t>Brustein &amp; Manasevit</w:t>
            </w:r>
            <w:r w:rsidR="005630FD" w:rsidRPr="002A3A82">
              <w:rPr>
                <w:rFonts w:ascii="Verdana" w:eastAsia="Times New Roman" w:hAnsi="Verdana" w:cs="Times New Roman"/>
                <w:b/>
                <w:sz w:val="28"/>
                <w:szCs w:val="28"/>
              </w:rPr>
              <w:t xml:space="preserve"> Perspective</w:t>
            </w:r>
            <w:r w:rsidR="00934CA8" w:rsidRPr="002A3A82">
              <w:rPr>
                <w:rFonts w:ascii="Verdana" w:eastAsia="Times New Roman" w:hAnsi="Verdana" w:cs="Times New Roman"/>
                <w:b/>
                <w:sz w:val="28"/>
                <w:szCs w:val="28"/>
              </w:rPr>
              <w:t xml:space="preserve"> to OMB A-87</w:t>
            </w:r>
          </w:p>
          <w:p w:rsidR="0087483F" w:rsidRPr="002A3A82" w:rsidRDefault="0087483F" w:rsidP="006236FC">
            <w:pPr>
              <w:jc w:val="center"/>
              <w:rPr>
                <w:rFonts w:ascii="Verdana" w:hAnsi="Verdana"/>
                <w:b/>
                <w:sz w:val="28"/>
                <w:szCs w:val="28"/>
              </w:rPr>
            </w:pPr>
          </w:p>
        </w:tc>
        <w:tc>
          <w:tcPr>
            <w:tcW w:w="4158" w:type="dxa"/>
            <w:shd w:val="clear" w:color="auto" w:fill="BFBFBF" w:themeFill="background1" w:themeFillShade="BF"/>
          </w:tcPr>
          <w:p w:rsidR="0087483F" w:rsidRPr="002A3A82" w:rsidRDefault="0087483F" w:rsidP="00934CA8">
            <w:pPr>
              <w:jc w:val="center"/>
              <w:rPr>
                <w:rFonts w:ascii="Verdana" w:hAnsi="Verdana"/>
                <w:b/>
                <w:sz w:val="28"/>
                <w:szCs w:val="28"/>
              </w:rPr>
            </w:pPr>
            <w:r w:rsidRPr="002A3A82">
              <w:rPr>
                <w:rFonts w:ascii="Verdana" w:hAnsi="Verdana"/>
                <w:b/>
                <w:sz w:val="28"/>
                <w:szCs w:val="28"/>
              </w:rPr>
              <w:t>Kansas</w:t>
            </w:r>
            <w:r w:rsidR="005630FD" w:rsidRPr="002A3A82">
              <w:rPr>
                <w:rFonts w:ascii="Verdana" w:hAnsi="Verdana"/>
                <w:b/>
                <w:sz w:val="28"/>
                <w:szCs w:val="28"/>
              </w:rPr>
              <w:t xml:space="preserve"> </w:t>
            </w:r>
            <w:r w:rsidR="00934CA8" w:rsidRPr="002A3A82">
              <w:rPr>
                <w:rFonts w:ascii="Verdana" w:hAnsi="Verdana"/>
                <w:b/>
                <w:sz w:val="28"/>
                <w:szCs w:val="28"/>
              </w:rPr>
              <w:t>Perspective to OMB A-87</w:t>
            </w:r>
          </w:p>
        </w:tc>
      </w:tr>
      <w:tr w:rsidR="0087483F" w:rsidRPr="002A3A82" w:rsidTr="0042045E">
        <w:tc>
          <w:tcPr>
            <w:tcW w:w="4338" w:type="dxa"/>
          </w:tcPr>
          <w:p w:rsidR="00141A57" w:rsidRPr="002A3A82" w:rsidRDefault="00141A57" w:rsidP="0087483F">
            <w:pPr>
              <w:pStyle w:val="BodyText"/>
              <w:rPr>
                <w:rFonts w:ascii="Verdana" w:hAnsi="Verdana"/>
                <w:sz w:val="20"/>
              </w:rPr>
            </w:pPr>
          </w:p>
          <w:p w:rsidR="00141A57" w:rsidRPr="002A3A82" w:rsidRDefault="00141A57" w:rsidP="0087483F">
            <w:pPr>
              <w:pStyle w:val="BodyText"/>
              <w:rPr>
                <w:rFonts w:ascii="Verdana" w:hAnsi="Verdana"/>
                <w:sz w:val="20"/>
              </w:rPr>
            </w:pPr>
          </w:p>
          <w:p w:rsidR="0087483F" w:rsidRPr="002A3A82" w:rsidRDefault="0087483F" w:rsidP="0087483F">
            <w:pPr>
              <w:pStyle w:val="BodyText"/>
              <w:rPr>
                <w:rFonts w:ascii="Verdana" w:hAnsi="Verdana"/>
                <w:sz w:val="20"/>
              </w:rPr>
            </w:pPr>
            <w:r w:rsidRPr="002A3A82">
              <w:rPr>
                <w:rFonts w:ascii="Verdana" w:hAnsi="Verdana"/>
                <w:sz w:val="20"/>
              </w:rPr>
              <w:t>Sections 1 through 42 provide principles to be applied in establishing the allowability or unallowability of certain items of cost. These principles apply whether a cost is treated as direct or indirect. A cost is allowable for Federal reimbursement only to the extent of benefits received by Federal awards and its conformance with the general policies and principles stated in Attachment A to this Circular. Failure to mention a particular item of cost in these sections is not intended to imply that it is either allowable or unallowable; rather, determination of allowability in each case should be based on the treatment or standards provided for similar or related items of cost.</w:t>
            </w:r>
          </w:p>
          <w:p w:rsidR="006236FC" w:rsidRPr="002A3A82" w:rsidRDefault="006236FC" w:rsidP="0087483F">
            <w:pPr>
              <w:pStyle w:val="BodyText"/>
              <w:rPr>
                <w:rFonts w:ascii="Verdana" w:hAnsi="Verdana"/>
                <w:sz w:val="20"/>
              </w:rPr>
            </w:pPr>
          </w:p>
          <w:p w:rsidR="0087483F" w:rsidRPr="002A3A82" w:rsidRDefault="0087483F" w:rsidP="0087483F">
            <w:pPr>
              <w:pStyle w:val="BodyText"/>
              <w:rPr>
                <w:rFonts w:ascii="Verdana" w:hAnsi="Verdana"/>
                <w:sz w:val="20"/>
                <w:u w:val="single"/>
              </w:rPr>
            </w:pPr>
            <w:r w:rsidRPr="002A3A82">
              <w:rPr>
                <w:rFonts w:ascii="Verdana" w:hAnsi="Verdana"/>
                <w:b/>
                <w:sz w:val="20"/>
                <w:u w:val="single"/>
              </w:rPr>
              <w:t xml:space="preserve">Section 31:  </w:t>
            </w:r>
            <w:r w:rsidRPr="002A3A82">
              <w:rPr>
                <w:rFonts w:ascii="Verdana" w:hAnsi="Verdana"/>
                <w:b/>
                <w:bCs/>
                <w:sz w:val="20"/>
                <w:u w:val="single"/>
              </w:rPr>
              <w:t>Motor pools</w:t>
            </w:r>
            <w:r w:rsidRPr="002A3A82">
              <w:rPr>
                <w:rFonts w:ascii="Verdana" w:hAnsi="Verdana"/>
                <w:sz w:val="20"/>
                <w:u w:val="single"/>
              </w:rPr>
              <w:t xml:space="preserve">. </w:t>
            </w:r>
          </w:p>
          <w:p w:rsidR="0087483F" w:rsidRPr="002A3A82" w:rsidRDefault="0087483F" w:rsidP="0087483F">
            <w:pPr>
              <w:pStyle w:val="BodyText"/>
              <w:rPr>
                <w:rFonts w:ascii="Verdana" w:hAnsi="Verdana"/>
                <w:sz w:val="20"/>
              </w:rPr>
            </w:pPr>
            <w:r w:rsidRPr="002A3A82">
              <w:rPr>
                <w:rFonts w:ascii="Verdana" w:hAnsi="Verdana"/>
                <w:sz w:val="20"/>
              </w:rPr>
              <w:t xml:space="preserve">The costs of a service organization which provides automobiles to user governmental units at a mileage or fixed rate and/or provides vehicle maintenance, inspection, and repair services are allowable. </w:t>
            </w:r>
          </w:p>
          <w:p w:rsidR="0087483F" w:rsidRPr="002A3A82" w:rsidRDefault="0087483F" w:rsidP="0087483F">
            <w:pPr>
              <w:rPr>
                <w:rFonts w:ascii="Verdana" w:hAnsi="Verdana"/>
                <w:sz w:val="20"/>
                <w:szCs w:val="20"/>
              </w:rPr>
            </w:pPr>
          </w:p>
          <w:p w:rsidR="0087483F" w:rsidRPr="002A3A82" w:rsidRDefault="0087483F" w:rsidP="0087483F">
            <w:pPr>
              <w:rPr>
                <w:rFonts w:ascii="Verdana" w:hAnsi="Verdana"/>
                <w:b/>
                <w:sz w:val="20"/>
                <w:szCs w:val="20"/>
                <w:u w:val="single"/>
              </w:rPr>
            </w:pPr>
            <w:r w:rsidRPr="002A3A82">
              <w:rPr>
                <w:rFonts w:ascii="Verdana" w:hAnsi="Verdana"/>
                <w:b/>
                <w:sz w:val="20"/>
                <w:szCs w:val="20"/>
                <w:u w:val="single"/>
              </w:rPr>
              <w:t>Section 41:  Travel Costs</w:t>
            </w:r>
          </w:p>
          <w:p w:rsidR="0087483F" w:rsidRPr="002A3A82" w:rsidRDefault="0087483F" w:rsidP="0087483F">
            <w:pPr>
              <w:rPr>
                <w:rFonts w:ascii="Verdana" w:hAnsi="Verdana"/>
                <w:b/>
                <w:sz w:val="20"/>
                <w:szCs w:val="20"/>
                <w:u w:val="single"/>
              </w:rPr>
            </w:pPr>
          </w:p>
          <w:p w:rsidR="006236FC" w:rsidRPr="002A3A82" w:rsidRDefault="0087483F" w:rsidP="00934CA8">
            <w:pPr>
              <w:pStyle w:val="ListParagraph"/>
              <w:numPr>
                <w:ilvl w:val="0"/>
                <w:numId w:val="2"/>
              </w:numPr>
              <w:rPr>
                <w:rFonts w:ascii="Verdana" w:hAnsi="Verdana"/>
                <w:b/>
                <w:sz w:val="20"/>
                <w:szCs w:val="20"/>
              </w:rPr>
            </w:pPr>
            <w:r w:rsidRPr="002A3A82">
              <w:rPr>
                <w:rFonts w:ascii="Verdana" w:hAnsi="Verdana"/>
                <w:b/>
                <w:bCs/>
                <w:sz w:val="20"/>
                <w:szCs w:val="20"/>
              </w:rPr>
              <w:t>General</w:t>
            </w:r>
            <w:r w:rsidRPr="002A3A82">
              <w:rPr>
                <w:rFonts w:ascii="Verdana" w:hAnsi="Verdana"/>
                <w:sz w:val="20"/>
                <w:szCs w:val="20"/>
              </w:rPr>
              <w:t>. Travel costs are allowable for expenses for transportation, lodging, subsistence, and related items incurred by employees traveling on official business. Such costs may be charged on an actual cost basis, on a per diem or mileage basis in lieu of actual costs incurred, or on a combination of the two, provided the method used is applied to an entire trip, and results in charges consistent with those normally allowed in like circumstances in non-federally-sponsored activities. Notwithstanding the provisions of section 23, travel costs of officials covered by that section, when specifically related to Federal awards, are allowable with the pri</w:t>
            </w:r>
            <w:r w:rsidR="006236FC" w:rsidRPr="002A3A82">
              <w:rPr>
                <w:rFonts w:ascii="Verdana" w:hAnsi="Verdana"/>
                <w:sz w:val="20"/>
                <w:szCs w:val="20"/>
              </w:rPr>
              <w:t xml:space="preserve">or approval of a grantor agency.    </w:t>
            </w:r>
          </w:p>
        </w:tc>
        <w:tc>
          <w:tcPr>
            <w:tcW w:w="4680" w:type="dxa"/>
          </w:tcPr>
          <w:p w:rsidR="00EA1892" w:rsidRPr="002A3A82" w:rsidRDefault="00EA1892" w:rsidP="005630FD">
            <w:pPr>
              <w:rPr>
                <w:rFonts w:ascii="Verdana" w:hAnsi="Verdana"/>
                <w:sz w:val="20"/>
                <w:szCs w:val="20"/>
              </w:rPr>
            </w:pPr>
          </w:p>
          <w:p w:rsidR="00EA1892" w:rsidRPr="002A3A82" w:rsidRDefault="00EA1892" w:rsidP="005630FD">
            <w:pPr>
              <w:rPr>
                <w:rFonts w:ascii="Verdana" w:hAnsi="Verdana"/>
                <w:sz w:val="20"/>
                <w:szCs w:val="20"/>
              </w:rPr>
            </w:pPr>
          </w:p>
          <w:p w:rsidR="0087483F" w:rsidRPr="002A3A82" w:rsidRDefault="005630FD" w:rsidP="005630FD">
            <w:pPr>
              <w:rPr>
                <w:rFonts w:ascii="Verdana" w:hAnsi="Verdana"/>
                <w:sz w:val="20"/>
                <w:szCs w:val="20"/>
              </w:rPr>
            </w:pPr>
            <w:r w:rsidRPr="002A3A82">
              <w:rPr>
                <w:rFonts w:ascii="Verdana" w:hAnsi="Verdana"/>
                <w:sz w:val="20"/>
                <w:szCs w:val="20"/>
              </w:rPr>
              <w:t>“</w:t>
            </w:r>
            <w:r w:rsidR="006236FC" w:rsidRPr="002A3A82">
              <w:rPr>
                <w:rFonts w:ascii="Verdana" w:hAnsi="Verdana"/>
                <w:sz w:val="20"/>
                <w:szCs w:val="20"/>
              </w:rPr>
              <w:t>Assuming the cost for fuel reimbursement is directly related to the transportation costs for LEA personnel to attend a workshop on the local application for Perkins funds, the State Eligible Agency is permitted to use Perkins funds to reimburse these costs. The actual costs must meet the “reasonable” standard, as prescribed by OMB Circular A-87. But certainly, the State could adopt a policy that provides that reimbursement will only be for mileage, and not actual costs. It is within the prerogative of the State to establish travel policy that all sub</w:t>
            </w:r>
            <w:r w:rsidR="008918D1" w:rsidRPr="002A3A82">
              <w:rPr>
                <w:rFonts w:ascii="Verdana" w:hAnsi="Verdana"/>
                <w:sz w:val="20"/>
                <w:szCs w:val="20"/>
              </w:rPr>
              <w:t>-</w:t>
            </w:r>
            <w:r w:rsidR="006236FC" w:rsidRPr="002A3A82">
              <w:rPr>
                <w:rFonts w:ascii="Verdana" w:hAnsi="Verdana"/>
                <w:sz w:val="20"/>
                <w:szCs w:val="20"/>
              </w:rPr>
              <w:t>gran</w:t>
            </w:r>
            <w:r w:rsidR="00734009" w:rsidRPr="002A3A82">
              <w:rPr>
                <w:rFonts w:ascii="Verdana" w:hAnsi="Verdana"/>
                <w:sz w:val="20"/>
                <w:szCs w:val="20"/>
              </w:rPr>
              <w:t>t</w:t>
            </w:r>
            <w:r w:rsidR="006236FC" w:rsidRPr="002A3A82">
              <w:rPr>
                <w:rFonts w:ascii="Verdana" w:hAnsi="Verdana"/>
                <w:sz w:val="20"/>
                <w:szCs w:val="20"/>
              </w:rPr>
              <w:t>ees must subscribe.</w:t>
            </w:r>
            <w:r w:rsidRPr="002A3A82">
              <w:rPr>
                <w:rFonts w:ascii="Verdana" w:hAnsi="Verdana"/>
                <w:sz w:val="20"/>
                <w:szCs w:val="20"/>
              </w:rPr>
              <w:t>”</w:t>
            </w:r>
          </w:p>
          <w:p w:rsidR="00934CA8" w:rsidRPr="002A3A82" w:rsidRDefault="00934CA8" w:rsidP="005630FD">
            <w:pPr>
              <w:rPr>
                <w:rFonts w:ascii="Verdana" w:hAnsi="Verdana"/>
                <w:sz w:val="20"/>
                <w:szCs w:val="20"/>
              </w:rPr>
            </w:pPr>
          </w:p>
          <w:p w:rsidR="00934CA8" w:rsidRPr="002A3A82" w:rsidRDefault="00934CA8" w:rsidP="00934CA8">
            <w:pPr>
              <w:jc w:val="right"/>
              <w:rPr>
                <w:rFonts w:ascii="Verdana" w:hAnsi="Verdana"/>
                <w:sz w:val="20"/>
                <w:szCs w:val="20"/>
              </w:rPr>
            </w:pPr>
            <w:r w:rsidRPr="002A3A82">
              <w:rPr>
                <w:rFonts w:ascii="Verdana" w:hAnsi="Verdana"/>
                <w:sz w:val="20"/>
                <w:szCs w:val="20"/>
              </w:rPr>
              <w:t>Michael Brustein</w:t>
            </w:r>
            <w:r w:rsidR="00734009" w:rsidRPr="002A3A82">
              <w:rPr>
                <w:rFonts w:ascii="Verdana" w:hAnsi="Verdana"/>
                <w:sz w:val="20"/>
                <w:szCs w:val="20"/>
              </w:rPr>
              <w:t>, Attorney at Law</w:t>
            </w:r>
          </w:p>
          <w:p w:rsidR="00734009" w:rsidRPr="002A3A82" w:rsidRDefault="00734009" w:rsidP="00734009">
            <w:pPr>
              <w:pStyle w:val="NormalWeb"/>
              <w:spacing w:line="336" w:lineRule="atLeast"/>
              <w:jc w:val="right"/>
              <w:rPr>
                <w:rFonts w:ascii="Verdana" w:hAnsi="Verdana"/>
                <w:color w:val="333333"/>
                <w:sz w:val="20"/>
                <w:szCs w:val="20"/>
              </w:rPr>
            </w:pPr>
            <w:r w:rsidRPr="002A3A82">
              <w:rPr>
                <w:rFonts w:ascii="Verdana" w:hAnsi="Verdana"/>
                <w:color w:val="333333"/>
                <w:sz w:val="20"/>
                <w:szCs w:val="20"/>
              </w:rPr>
              <w:t>Brustein &amp; Manasevit</w:t>
            </w:r>
            <w:r w:rsidRPr="002A3A82">
              <w:rPr>
                <w:rFonts w:ascii="Verdana" w:hAnsi="Verdana"/>
                <w:color w:val="333333"/>
                <w:sz w:val="20"/>
                <w:szCs w:val="20"/>
              </w:rPr>
              <w:br/>
            </w:r>
          </w:p>
          <w:p w:rsidR="00734009" w:rsidRPr="002A3A82" w:rsidRDefault="00734009" w:rsidP="00934CA8">
            <w:pPr>
              <w:jc w:val="right"/>
              <w:rPr>
                <w:rFonts w:ascii="Verdana" w:hAnsi="Verdana"/>
                <w:sz w:val="20"/>
                <w:szCs w:val="20"/>
              </w:rPr>
            </w:pPr>
          </w:p>
          <w:p w:rsidR="00734009" w:rsidRPr="002A3A82" w:rsidRDefault="00734009" w:rsidP="00934CA8">
            <w:pPr>
              <w:jc w:val="right"/>
              <w:rPr>
                <w:rFonts w:ascii="Verdana" w:hAnsi="Verdana"/>
                <w:b/>
                <w:sz w:val="20"/>
                <w:szCs w:val="20"/>
              </w:rPr>
            </w:pPr>
          </w:p>
        </w:tc>
        <w:tc>
          <w:tcPr>
            <w:tcW w:w="4158" w:type="dxa"/>
          </w:tcPr>
          <w:p w:rsidR="00EA1892" w:rsidRPr="002A3A82" w:rsidRDefault="00EA1892" w:rsidP="00EA1892">
            <w:pPr>
              <w:pStyle w:val="ListParagraph"/>
              <w:jc w:val="both"/>
              <w:rPr>
                <w:rFonts w:ascii="Verdana" w:eastAsia="Times New Roman" w:hAnsi="Verdana" w:cs="Tahoma"/>
                <w:sz w:val="20"/>
                <w:szCs w:val="20"/>
              </w:rPr>
            </w:pPr>
          </w:p>
          <w:p w:rsidR="00EA1892" w:rsidRPr="002A3A82" w:rsidRDefault="00EA1892" w:rsidP="00EA1892">
            <w:pPr>
              <w:pStyle w:val="ListParagraph"/>
              <w:jc w:val="both"/>
              <w:rPr>
                <w:rFonts w:ascii="Verdana" w:eastAsia="Times New Roman" w:hAnsi="Verdana" w:cs="Tahoma"/>
                <w:sz w:val="20"/>
                <w:szCs w:val="20"/>
              </w:rPr>
            </w:pPr>
          </w:p>
          <w:p w:rsidR="005630FD" w:rsidRPr="002A3A82" w:rsidRDefault="005630FD" w:rsidP="005630FD">
            <w:pPr>
              <w:pStyle w:val="ListParagraph"/>
              <w:numPr>
                <w:ilvl w:val="0"/>
                <w:numId w:val="4"/>
              </w:numPr>
              <w:jc w:val="both"/>
              <w:rPr>
                <w:rFonts w:ascii="Verdana" w:eastAsia="Times New Roman" w:hAnsi="Verdana" w:cs="Tahoma"/>
                <w:sz w:val="20"/>
                <w:szCs w:val="20"/>
              </w:rPr>
            </w:pPr>
            <w:r w:rsidRPr="002A3A82">
              <w:rPr>
                <w:rFonts w:ascii="Verdana" w:eastAsia="Times New Roman" w:hAnsi="Verdana" w:cs="Tahoma"/>
                <w:sz w:val="20"/>
                <w:szCs w:val="20"/>
              </w:rPr>
              <w:t>Mileage reimbursement will be for district/consortium owned vehicles and personal vehicles.</w:t>
            </w:r>
            <w:r w:rsidR="00934CA8" w:rsidRPr="002A3A82">
              <w:rPr>
                <w:rFonts w:ascii="Verdana" w:eastAsia="Times New Roman" w:hAnsi="Verdana" w:cs="Tahoma"/>
                <w:sz w:val="20"/>
                <w:szCs w:val="20"/>
              </w:rPr>
              <w:t xml:space="preserve">  District/Consortium owned vehicles are considered to be a motor pool of vehicles, therefore,</w:t>
            </w:r>
            <w:r w:rsidR="00734009" w:rsidRPr="002A3A82">
              <w:rPr>
                <w:rFonts w:ascii="Verdana" w:eastAsia="Times New Roman" w:hAnsi="Verdana" w:cs="Tahoma"/>
                <w:sz w:val="20"/>
                <w:szCs w:val="20"/>
              </w:rPr>
              <w:t xml:space="preserve"> </w:t>
            </w:r>
            <w:r w:rsidR="00934CA8" w:rsidRPr="002A3A82">
              <w:rPr>
                <w:rFonts w:ascii="Verdana" w:eastAsia="Times New Roman" w:hAnsi="Verdana" w:cs="Tahoma"/>
                <w:sz w:val="20"/>
                <w:szCs w:val="20"/>
              </w:rPr>
              <w:t>allowing reimbursement for mileage.</w:t>
            </w:r>
          </w:p>
          <w:p w:rsidR="005630FD" w:rsidRPr="002A3A82" w:rsidRDefault="005630FD" w:rsidP="005630FD">
            <w:pPr>
              <w:ind w:left="360"/>
              <w:jc w:val="both"/>
              <w:rPr>
                <w:rFonts w:ascii="Verdana" w:eastAsia="Times New Roman" w:hAnsi="Verdana" w:cs="Tahoma"/>
                <w:sz w:val="20"/>
                <w:szCs w:val="20"/>
              </w:rPr>
            </w:pPr>
          </w:p>
          <w:p w:rsidR="005630FD" w:rsidRPr="002A3A82" w:rsidRDefault="005630FD" w:rsidP="005630FD">
            <w:pPr>
              <w:pStyle w:val="ListParagraph"/>
              <w:numPr>
                <w:ilvl w:val="0"/>
                <w:numId w:val="4"/>
              </w:numPr>
              <w:jc w:val="both"/>
              <w:rPr>
                <w:rFonts w:ascii="Verdana" w:eastAsia="Times New Roman" w:hAnsi="Verdana" w:cs="Times New Roman"/>
                <w:sz w:val="20"/>
                <w:szCs w:val="20"/>
              </w:rPr>
            </w:pPr>
            <w:r w:rsidRPr="002A3A82">
              <w:rPr>
                <w:rFonts w:ascii="Verdana" w:eastAsia="Times New Roman" w:hAnsi="Verdana" w:cs="Tahoma"/>
                <w:sz w:val="20"/>
                <w:szCs w:val="20"/>
              </w:rPr>
              <w:t xml:space="preserve">The estimate is set at the state/government rate </w:t>
            </w:r>
            <w:r w:rsidR="00934CA8" w:rsidRPr="002A3A82">
              <w:rPr>
                <w:rFonts w:ascii="Verdana" w:eastAsia="Times New Roman" w:hAnsi="Verdana" w:cs="Tahoma"/>
                <w:sz w:val="20"/>
                <w:szCs w:val="20"/>
              </w:rPr>
              <w:t xml:space="preserve">for </w:t>
            </w:r>
            <w:r w:rsidRPr="002A3A82">
              <w:rPr>
                <w:rFonts w:ascii="Verdana" w:eastAsia="Times New Roman" w:hAnsi="Verdana" w:cs="Tahoma"/>
                <w:sz w:val="20"/>
                <w:szCs w:val="20"/>
              </w:rPr>
              <w:t xml:space="preserve">mileage reimbursement. </w:t>
            </w:r>
          </w:p>
          <w:p w:rsidR="005630FD" w:rsidRPr="002A3A82" w:rsidRDefault="005630FD" w:rsidP="005630FD">
            <w:pPr>
              <w:ind w:left="360"/>
              <w:jc w:val="both"/>
              <w:rPr>
                <w:rFonts w:ascii="Verdana" w:eastAsia="Times New Roman" w:hAnsi="Verdana" w:cs="Times New Roman"/>
                <w:sz w:val="20"/>
                <w:szCs w:val="20"/>
              </w:rPr>
            </w:pPr>
            <w:r w:rsidRPr="002A3A82">
              <w:rPr>
                <w:rFonts w:ascii="Verdana" w:eastAsia="Times New Roman" w:hAnsi="Verdana" w:cs="Tahoma"/>
                <w:sz w:val="20"/>
                <w:szCs w:val="20"/>
              </w:rPr>
              <w:t> </w:t>
            </w:r>
          </w:p>
          <w:p w:rsidR="005630FD" w:rsidRPr="002A3A82" w:rsidRDefault="005630FD" w:rsidP="005630FD">
            <w:pPr>
              <w:pStyle w:val="ListParagraph"/>
              <w:numPr>
                <w:ilvl w:val="0"/>
                <w:numId w:val="6"/>
              </w:numPr>
              <w:jc w:val="both"/>
              <w:rPr>
                <w:rFonts w:ascii="Verdana" w:eastAsia="Times New Roman" w:hAnsi="Verdana" w:cs="Times New Roman"/>
                <w:sz w:val="20"/>
                <w:szCs w:val="20"/>
              </w:rPr>
            </w:pPr>
            <w:r w:rsidRPr="002A3A82">
              <w:rPr>
                <w:rFonts w:ascii="Verdana" w:eastAsia="Times New Roman" w:hAnsi="Verdana" w:cs="Tahoma"/>
                <w:sz w:val="20"/>
                <w:szCs w:val="20"/>
              </w:rPr>
              <w:t>The mileage reimbursement must be included as an expense in the approved grant application</w:t>
            </w:r>
            <w:r w:rsidR="00934CA8" w:rsidRPr="002A3A82">
              <w:rPr>
                <w:rFonts w:ascii="Verdana" w:eastAsia="Times New Roman" w:hAnsi="Verdana" w:cs="Tahoma"/>
                <w:sz w:val="20"/>
                <w:szCs w:val="20"/>
              </w:rPr>
              <w:t xml:space="preserve"> for any given fiscal year</w:t>
            </w:r>
            <w:r w:rsidRPr="002A3A82">
              <w:rPr>
                <w:rFonts w:ascii="Verdana" w:eastAsia="Times New Roman" w:hAnsi="Verdana" w:cs="Tahoma"/>
                <w:sz w:val="20"/>
                <w:szCs w:val="20"/>
              </w:rPr>
              <w:t xml:space="preserve">. Not, an expense “after the fact”. </w:t>
            </w:r>
          </w:p>
          <w:p w:rsidR="0087483F" w:rsidRPr="002A3A82" w:rsidRDefault="0087483F" w:rsidP="005630FD">
            <w:pPr>
              <w:rPr>
                <w:rFonts w:ascii="Verdana" w:hAnsi="Verdana"/>
                <w:sz w:val="20"/>
                <w:szCs w:val="20"/>
              </w:rPr>
            </w:pPr>
          </w:p>
          <w:p w:rsidR="005630FD" w:rsidRPr="002A3A82" w:rsidRDefault="005630FD" w:rsidP="005630FD">
            <w:pPr>
              <w:pStyle w:val="ListParagraph"/>
              <w:numPr>
                <w:ilvl w:val="0"/>
                <w:numId w:val="6"/>
              </w:numPr>
              <w:rPr>
                <w:rFonts w:ascii="Verdana" w:hAnsi="Verdana"/>
                <w:sz w:val="20"/>
                <w:szCs w:val="20"/>
              </w:rPr>
            </w:pPr>
            <w:r w:rsidRPr="002A3A82">
              <w:rPr>
                <w:rFonts w:ascii="Verdana" w:hAnsi="Verdana"/>
                <w:sz w:val="20"/>
                <w:szCs w:val="20"/>
              </w:rPr>
              <w:t xml:space="preserve">Actual cost of </w:t>
            </w:r>
            <w:r w:rsidR="00734009" w:rsidRPr="002A3A82">
              <w:rPr>
                <w:rFonts w:ascii="Verdana" w:hAnsi="Verdana"/>
                <w:sz w:val="20"/>
                <w:szCs w:val="20"/>
              </w:rPr>
              <w:t>fuel, oil, automobile repairs and maintenance</w:t>
            </w:r>
            <w:r w:rsidRPr="002A3A82">
              <w:rPr>
                <w:rFonts w:ascii="Verdana" w:hAnsi="Verdana"/>
                <w:sz w:val="20"/>
                <w:szCs w:val="20"/>
              </w:rPr>
              <w:t xml:space="preserve"> </w:t>
            </w:r>
            <w:r w:rsidR="00934CA8" w:rsidRPr="002A3A82">
              <w:rPr>
                <w:rFonts w:ascii="Verdana" w:hAnsi="Verdana"/>
                <w:sz w:val="20"/>
                <w:szCs w:val="20"/>
              </w:rPr>
              <w:t xml:space="preserve">for the vehicles used </w:t>
            </w:r>
            <w:r w:rsidRPr="002A3A82">
              <w:rPr>
                <w:rFonts w:ascii="Verdana" w:hAnsi="Verdana"/>
                <w:sz w:val="20"/>
                <w:szCs w:val="20"/>
              </w:rPr>
              <w:t>will not be an allowable expenditure.</w:t>
            </w:r>
          </w:p>
          <w:p w:rsidR="00934CA8" w:rsidRPr="002A3A82" w:rsidRDefault="00934CA8" w:rsidP="00934CA8">
            <w:pPr>
              <w:pStyle w:val="ListParagraph"/>
              <w:rPr>
                <w:rFonts w:ascii="Verdana" w:hAnsi="Verdana"/>
                <w:sz w:val="20"/>
                <w:szCs w:val="20"/>
              </w:rPr>
            </w:pPr>
          </w:p>
          <w:p w:rsidR="00934CA8" w:rsidRPr="002A3A82" w:rsidRDefault="00934CA8" w:rsidP="005630FD">
            <w:pPr>
              <w:pStyle w:val="ListParagraph"/>
              <w:numPr>
                <w:ilvl w:val="0"/>
                <w:numId w:val="6"/>
              </w:numPr>
              <w:rPr>
                <w:rFonts w:ascii="Verdana" w:hAnsi="Verdana"/>
                <w:sz w:val="20"/>
                <w:szCs w:val="20"/>
              </w:rPr>
            </w:pPr>
            <w:r w:rsidRPr="002A3A82">
              <w:rPr>
                <w:rFonts w:ascii="Verdana" w:hAnsi="Verdana"/>
                <w:sz w:val="20"/>
                <w:szCs w:val="20"/>
              </w:rPr>
              <w:lastRenderedPageBreak/>
              <w:t>A standard form for mileage reimbursement must be included with the financial records for any given fiscal year.  Mileage reimbursement forms will be reviewed if the district/consortium is selected for monitoring purposes.</w:t>
            </w:r>
          </w:p>
        </w:tc>
      </w:tr>
    </w:tbl>
    <w:p w:rsidR="00141A57" w:rsidRPr="002A3A82" w:rsidRDefault="00141A57" w:rsidP="00934CA8">
      <w:pPr>
        <w:pStyle w:val="ListParagraph"/>
        <w:rPr>
          <w:rFonts w:ascii="Verdana" w:hAnsi="Verdana"/>
          <w:bCs/>
          <w:sz w:val="20"/>
          <w:szCs w:val="20"/>
        </w:rPr>
      </w:pPr>
    </w:p>
    <w:p w:rsidR="0087483F" w:rsidRPr="002A3A82" w:rsidRDefault="00EA1892" w:rsidP="00934CA8">
      <w:pPr>
        <w:pStyle w:val="ListParagraph"/>
        <w:rPr>
          <w:rFonts w:ascii="Verdana" w:hAnsi="Verdana"/>
          <w:sz w:val="20"/>
          <w:szCs w:val="20"/>
        </w:rPr>
      </w:pPr>
      <w:r w:rsidRPr="002A3A82">
        <w:rPr>
          <w:rFonts w:ascii="Verdana" w:hAnsi="Verdana"/>
          <w:bCs/>
          <w:sz w:val="20"/>
          <w:szCs w:val="20"/>
        </w:rPr>
        <w:t>***</w:t>
      </w:r>
      <w:r w:rsidR="00934CA8" w:rsidRPr="002A3A82">
        <w:rPr>
          <w:rFonts w:ascii="Verdana" w:hAnsi="Verdana"/>
          <w:bCs/>
          <w:sz w:val="20"/>
          <w:szCs w:val="20"/>
        </w:rPr>
        <w:t xml:space="preserve">OMB A-87 may be viewed in its entirety at the following link: </w:t>
      </w:r>
      <w:hyperlink r:id="rId8" w:history="1">
        <w:r w:rsidR="00934CA8" w:rsidRPr="002A3A82">
          <w:rPr>
            <w:rStyle w:val="Hyperlink"/>
            <w:rFonts w:ascii="Verdana" w:hAnsi="Verdana"/>
            <w:sz w:val="20"/>
            <w:szCs w:val="20"/>
          </w:rPr>
          <w:t>http://www.whitehouse.gov/omb/rewrite/circulars/a087/a087-all.html</w:t>
        </w:r>
      </w:hyperlink>
    </w:p>
    <w:p w:rsidR="00EA1892" w:rsidRPr="002A3A82" w:rsidRDefault="00EA1892" w:rsidP="00934CA8">
      <w:pPr>
        <w:pStyle w:val="ListParagraph"/>
        <w:rPr>
          <w:rFonts w:ascii="Verdana" w:hAnsi="Verdana"/>
          <w:sz w:val="18"/>
          <w:szCs w:val="18"/>
        </w:rPr>
      </w:pPr>
    </w:p>
    <w:p w:rsidR="00EA1892" w:rsidRPr="002A3A82" w:rsidRDefault="00EA1892" w:rsidP="00EA1892">
      <w:pPr>
        <w:autoSpaceDE w:val="0"/>
        <w:autoSpaceDN w:val="0"/>
        <w:adjustRightInd w:val="0"/>
        <w:spacing w:line="288" w:lineRule="auto"/>
        <w:ind w:left="360" w:right="360"/>
        <w:jc w:val="center"/>
        <w:textAlignment w:val="center"/>
        <w:rPr>
          <w:rFonts w:ascii="Arial" w:hAnsi="Arial" w:cs="Arial"/>
          <w:b/>
          <w:bCs/>
          <w:color w:val="000000"/>
          <w:sz w:val="20"/>
          <w:szCs w:val="20"/>
        </w:rPr>
      </w:pPr>
      <w:r w:rsidRPr="002A3A82">
        <w:rPr>
          <w:rFonts w:ascii="Arial" w:hAnsi="Arial" w:cs="Arial"/>
          <w:b/>
          <w:bCs/>
          <w:color w:val="000000"/>
          <w:sz w:val="20"/>
          <w:szCs w:val="20"/>
        </w:rPr>
        <w:t>An Equal Employment/Educational Opportunity Agency</w:t>
      </w:r>
    </w:p>
    <w:p w:rsidR="00EA1892" w:rsidRPr="002A3A82" w:rsidRDefault="00EA1892" w:rsidP="00EA1892">
      <w:pPr>
        <w:autoSpaceDE w:val="0"/>
        <w:autoSpaceDN w:val="0"/>
        <w:adjustRightInd w:val="0"/>
        <w:spacing w:line="288" w:lineRule="auto"/>
        <w:ind w:left="360" w:right="360"/>
        <w:textAlignment w:val="center"/>
        <w:rPr>
          <w:rFonts w:ascii="Arial" w:hAnsi="Arial" w:cs="Arial"/>
          <w:color w:val="000000"/>
          <w:sz w:val="20"/>
          <w:szCs w:val="20"/>
        </w:rPr>
      </w:pPr>
      <w:r w:rsidRPr="002A3A82">
        <w:rPr>
          <w:rFonts w:ascii="Arial" w:hAnsi="Arial" w:cs="Arial"/>
          <w:color w:val="000000"/>
          <w:sz w:val="20"/>
          <w:szCs w:val="20"/>
        </w:rPr>
        <w:t>The Kansas State Department of Education does not discriminate on the basis of race, color, national origin, sex, disability, or age in its programs and activities.  The following person has been designated to handle inquiries regarding the non-discrimination policies:</w:t>
      </w:r>
    </w:p>
    <w:p w:rsidR="00EA1892" w:rsidRPr="002A3A82" w:rsidRDefault="00EA1892" w:rsidP="00EA1892">
      <w:pPr>
        <w:autoSpaceDE w:val="0"/>
        <w:autoSpaceDN w:val="0"/>
        <w:adjustRightInd w:val="0"/>
        <w:spacing w:line="288" w:lineRule="auto"/>
        <w:ind w:left="720" w:right="360"/>
        <w:jc w:val="center"/>
        <w:textAlignment w:val="center"/>
        <w:rPr>
          <w:rFonts w:ascii="Arial" w:hAnsi="Arial" w:cs="Arial"/>
          <w:color w:val="000000"/>
          <w:sz w:val="20"/>
          <w:szCs w:val="20"/>
        </w:rPr>
      </w:pPr>
      <w:r w:rsidRPr="002A3A82">
        <w:rPr>
          <w:rFonts w:ascii="Arial" w:hAnsi="Arial" w:cs="Arial"/>
          <w:color w:val="000000"/>
          <w:sz w:val="20"/>
          <w:szCs w:val="20"/>
        </w:rPr>
        <w:t>KSDE General Counsel</w:t>
      </w:r>
    </w:p>
    <w:p w:rsidR="00EA1892" w:rsidRPr="002A3A82" w:rsidRDefault="00EA1892" w:rsidP="00EA1892">
      <w:pPr>
        <w:autoSpaceDE w:val="0"/>
        <w:autoSpaceDN w:val="0"/>
        <w:adjustRightInd w:val="0"/>
        <w:spacing w:line="288" w:lineRule="auto"/>
        <w:ind w:left="720" w:right="360"/>
        <w:jc w:val="center"/>
        <w:textAlignment w:val="center"/>
        <w:rPr>
          <w:rFonts w:ascii="Arial" w:hAnsi="Arial" w:cs="Arial"/>
          <w:color w:val="000000"/>
          <w:sz w:val="20"/>
          <w:szCs w:val="20"/>
        </w:rPr>
      </w:pPr>
      <w:r w:rsidRPr="002A3A82">
        <w:rPr>
          <w:rFonts w:ascii="Arial" w:hAnsi="Arial" w:cs="Arial"/>
          <w:color w:val="000000"/>
          <w:sz w:val="20"/>
          <w:szCs w:val="20"/>
        </w:rPr>
        <w:t>120 SE 10th Ave.</w:t>
      </w:r>
    </w:p>
    <w:p w:rsidR="00EA1892" w:rsidRPr="002A3A82" w:rsidRDefault="00EA1892" w:rsidP="00EA1892">
      <w:pPr>
        <w:autoSpaceDE w:val="0"/>
        <w:autoSpaceDN w:val="0"/>
        <w:adjustRightInd w:val="0"/>
        <w:spacing w:line="288" w:lineRule="auto"/>
        <w:ind w:left="720" w:right="360"/>
        <w:jc w:val="center"/>
        <w:textAlignment w:val="center"/>
        <w:rPr>
          <w:rFonts w:ascii="Arial" w:hAnsi="Arial" w:cs="Arial"/>
          <w:color w:val="000000"/>
          <w:sz w:val="20"/>
          <w:szCs w:val="20"/>
        </w:rPr>
      </w:pPr>
      <w:r w:rsidRPr="002A3A82">
        <w:rPr>
          <w:rFonts w:ascii="Arial" w:hAnsi="Arial" w:cs="Arial"/>
          <w:color w:val="000000"/>
          <w:sz w:val="20"/>
          <w:szCs w:val="20"/>
        </w:rPr>
        <w:t>Topeka, KS 66612</w:t>
      </w:r>
    </w:p>
    <w:p w:rsidR="00EA1892" w:rsidRDefault="00EA1892" w:rsidP="00EA1892">
      <w:pPr>
        <w:autoSpaceDE w:val="0"/>
        <w:autoSpaceDN w:val="0"/>
        <w:adjustRightInd w:val="0"/>
        <w:spacing w:line="288" w:lineRule="auto"/>
        <w:ind w:left="720" w:right="360"/>
        <w:jc w:val="center"/>
        <w:textAlignment w:val="center"/>
        <w:rPr>
          <w:rFonts w:ascii="Arial" w:hAnsi="Arial" w:cs="Arial"/>
          <w:color w:val="000000"/>
          <w:sz w:val="20"/>
          <w:szCs w:val="20"/>
        </w:rPr>
      </w:pPr>
      <w:r w:rsidRPr="002A3A82">
        <w:rPr>
          <w:rFonts w:ascii="Arial" w:hAnsi="Arial" w:cs="Arial"/>
          <w:color w:val="000000"/>
          <w:sz w:val="20"/>
          <w:szCs w:val="20"/>
        </w:rPr>
        <w:t>785-296-3204</w:t>
      </w:r>
    </w:p>
    <w:sectPr w:rsidR="00EA1892" w:rsidSect="009B17A7">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23D" w:rsidRDefault="0009023D" w:rsidP="00D714A9">
      <w:r>
        <w:separator/>
      </w:r>
    </w:p>
  </w:endnote>
  <w:endnote w:type="continuationSeparator" w:id="0">
    <w:p w:rsidR="0009023D" w:rsidRDefault="0009023D" w:rsidP="00D714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A9" w:rsidRDefault="00B60456">
    <w:pPr>
      <w:pStyle w:val="Footer"/>
    </w:pPr>
    <w:r>
      <w:t>Final Version</w:t>
    </w:r>
    <w:r w:rsidR="00D714A9">
      <w:t xml:space="preserve">/April </w:t>
    </w:r>
    <w:r w:rsidR="002A3A82">
      <w:t>27</w:t>
    </w:r>
    <w:r w:rsidR="00D714A9">
      <w:t>, 2010</w:t>
    </w:r>
  </w:p>
  <w:p w:rsidR="00D714A9" w:rsidRDefault="00D714A9">
    <w:pPr>
      <w:pStyle w:val="Footer"/>
    </w:pPr>
    <w:r>
      <w:t>KO</w:t>
    </w:r>
  </w:p>
  <w:p w:rsidR="00D714A9" w:rsidRDefault="00D71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23D" w:rsidRDefault="0009023D" w:rsidP="00D714A9">
      <w:r>
        <w:separator/>
      </w:r>
    </w:p>
  </w:footnote>
  <w:footnote w:type="continuationSeparator" w:id="0">
    <w:p w:rsidR="0009023D" w:rsidRDefault="0009023D" w:rsidP="00D71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2544"/>
    <w:multiLevelType w:val="hybridMultilevel"/>
    <w:tmpl w:val="BFB87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D78AA"/>
    <w:multiLevelType w:val="hybridMultilevel"/>
    <w:tmpl w:val="B478F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F44071"/>
    <w:multiLevelType w:val="hybridMultilevel"/>
    <w:tmpl w:val="851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E1383"/>
    <w:multiLevelType w:val="hybridMultilevel"/>
    <w:tmpl w:val="72C8E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21694"/>
    <w:multiLevelType w:val="hybridMultilevel"/>
    <w:tmpl w:val="3E9EA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1B272C"/>
    <w:multiLevelType w:val="hybridMultilevel"/>
    <w:tmpl w:val="E3109F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17A7"/>
    <w:rsid w:val="00041796"/>
    <w:rsid w:val="0009023D"/>
    <w:rsid w:val="000E4027"/>
    <w:rsid w:val="00141A57"/>
    <w:rsid w:val="002367F0"/>
    <w:rsid w:val="002A3A82"/>
    <w:rsid w:val="0042045E"/>
    <w:rsid w:val="00464775"/>
    <w:rsid w:val="005630FD"/>
    <w:rsid w:val="00591CFA"/>
    <w:rsid w:val="006236FC"/>
    <w:rsid w:val="00734009"/>
    <w:rsid w:val="007460C7"/>
    <w:rsid w:val="00780439"/>
    <w:rsid w:val="0087483F"/>
    <w:rsid w:val="008918D1"/>
    <w:rsid w:val="00934CA8"/>
    <w:rsid w:val="00935D3E"/>
    <w:rsid w:val="0095171D"/>
    <w:rsid w:val="009B17A7"/>
    <w:rsid w:val="00A33B9F"/>
    <w:rsid w:val="00B60456"/>
    <w:rsid w:val="00BB03F9"/>
    <w:rsid w:val="00D62E38"/>
    <w:rsid w:val="00D714A9"/>
    <w:rsid w:val="00EA1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7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5D3E"/>
    <w:pPr>
      <w:ind w:left="720"/>
      <w:contextualSpacing/>
    </w:pPr>
  </w:style>
  <w:style w:type="paragraph" w:styleId="BodyText">
    <w:name w:val="Body Text"/>
    <w:basedOn w:val="Normal"/>
    <w:link w:val="BodyTextChar"/>
    <w:rsid w:val="0087483F"/>
    <w:rPr>
      <w:rFonts w:ascii="Helvetica" w:eastAsia="Times New Roman" w:hAnsi="Helvetica" w:cs="Times New Roman"/>
      <w:szCs w:val="20"/>
    </w:rPr>
  </w:style>
  <w:style w:type="character" w:customStyle="1" w:styleId="BodyTextChar">
    <w:name w:val="Body Text Char"/>
    <w:basedOn w:val="DefaultParagraphFont"/>
    <w:link w:val="BodyText"/>
    <w:rsid w:val="0087483F"/>
    <w:rPr>
      <w:rFonts w:ascii="Helvetica" w:eastAsia="Times New Roman" w:hAnsi="Helvetica" w:cs="Times New Roman"/>
      <w:szCs w:val="20"/>
    </w:rPr>
  </w:style>
  <w:style w:type="character" w:styleId="Hyperlink">
    <w:name w:val="Hyperlink"/>
    <w:basedOn w:val="DefaultParagraphFont"/>
    <w:uiPriority w:val="99"/>
    <w:unhideWhenUsed/>
    <w:rsid w:val="006236FC"/>
    <w:rPr>
      <w:color w:val="0000FF" w:themeColor="hyperlink"/>
      <w:u w:val="single"/>
    </w:rPr>
  </w:style>
  <w:style w:type="paragraph" w:styleId="NormalWeb">
    <w:name w:val="Normal (Web)"/>
    <w:basedOn w:val="Normal"/>
    <w:uiPriority w:val="99"/>
    <w:semiHidden/>
    <w:unhideWhenUsed/>
    <w:rsid w:val="0073400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714A9"/>
    <w:pPr>
      <w:tabs>
        <w:tab w:val="center" w:pos="4680"/>
        <w:tab w:val="right" w:pos="9360"/>
      </w:tabs>
    </w:pPr>
  </w:style>
  <w:style w:type="character" w:customStyle="1" w:styleId="HeaderChar">
    <w:name w:val="Header Char"/>
    <w:basedOn w:val="DefaultParagraphFont"/>
    <w:link w:val="Header"/>
    <w:uiPriority w:val="99"/>
    <w:semiHidden/>
    <w:rsid w:val="00D714A9"/>
  </w:style>
  <w:style w:type="paragraph" w:styleId="Footer">
    <w:name w:val="footer"/>
    <w:basedOn w:val="Normal"/>
    <w:link w:val="FooterChar"/>
    <w:uiPriority w:val="99"/>
    <w:semiHidden/>
    <w:unhideWhenUsed/>
    <w:rsid w:val="00D714A9"/>
    <w:pPr>
      <w:tabs>
        <w:tab w:val="center" w:pos="4680"/>
        <w:tab w:val="right" w:pos="9360"/>
      </w:tabs>
    </w:pPr>
  </w:style>
  <w:style w:type="character" w:customStyle="1" w:styleId="FooterChar">
    <w:name w:val="Footer Char"/>
    <w:basedOn w:val="DefaultParagraphFont"/>
    <w:link w:val="Footer"/>
    <w:uiPriority w:val="99"/>
    <w:semiHidden/>
    <w:rsid w:val="00D714A9"/>
  </w:style>
</w:styles>
</file>

<file path=word/webSettings.xml><?xml version="1.0" encoding="utf-8"?>
<w:webSettings xmlns:r="http://schemas.openxmlformats.org/officeDocument/2006/relationships" xmlns:w="http://schemas.openxmlformats.org/wordprocessingml/2006/main">
  <w:divs>
    <w:div w:id="62680703">
      <w:bodyDiv w:val="1"/>
      <w:marLeft w:val="0"/>
      <w:marRight w:val="0"/>
      <w:marTop w:val="0"/>
      <w:marBottom w:val="0"/>
      <w:divBdr>
        <w:top w:val="none" w:sz="0" w:space="0" w:color="auto"/>
        <w:left w:val="none" w:sz="0" w:space="0" w:color="auto"/>
        <w:bottom w:val="none" w:sz="0" w:space="0" w:color="auto"/>
        <w:right w:val="none" w:sz="0" w:space="0" w:color="auto"/>
      </w:divBdr>
      <w:divsChild>
        <w:div w:id="185560298">
          <w:marLeft w:val="0"/>
          <w:marRight w:val="0"/>
          <w:marTop w:val="0"/>
          <w:marBottom w:val="0"/>
          <w:divBdr>
            <w:top w:val="none" w:sz="0" w:space="0" w:color="auto"/>
            <w:left w:val="none" w:sz="0" w:space="0" w:color="auto"/>
            <w:bottom w:val="none" w:sz="0" w:space="0" w:color="auto"/>
            <w:right w:val="none" w:sz="0" w:space="0" w:color="auto"/>
          </w:divBdr>
          <w:divsChild>
            <w:div w:id="9583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2763">
      <w:bodyDiv w:val="1"/>
      <w:marLeft w:val="0"/>
      <w:marRight w:val="0"/>
      <w:marTop w:val="0"/>
      <w:marBottom w:val="0"/>
      <w:divBdr>
        <w:top w:val="none" w:sz="0" w:space="0" w:color="auto"/>
        <w:left w:val="none" w:sz="0" w:space="0" w:color="auto"/>
        <w:bottom w:val="none" w:sz="0" w:space="0" w:color="auto"/>
        <w:right w:val="none" w:sz="0" w:space="0" w:color="auto"/>
      </w:divBdr>
      <w:divsChild>
        <w:div w:id="814372491">
          <w:marLeft w:val="0"/>
          <w:marRight w:val="0"/>
          <w:marTop w:val="0"/>
          <w:marBottom w:val="0"/>
          <w:divBdr>
            <w:top w:val="none" w:sz="0" w:space="0" w:color="auto"/>
            <w:left w:val="none" w:sz="0" w:space="0" w:color="auto"/>
            <w:bottom w:val="none" w:sz="0" w:space="0" w:color="auto"/>
            <w:right w:val="none" w:sz="0" w:space="0" w:color="auto"/>
          </w:divBdr>
        </w:div>
      </w:divsChild>
    </w:div>
    <w:div w:id="2071685800">
      <w:bodyDiv w:val="1"/>
      <w:marLeft w:val="0"/>
      <w:marRight w:val="0"/>
      <w:marTop w:val="0"/>
      <w:marBottom w:val="0"/>
      <w:divBdr>
        <w:top w:val="none" w:sz="0" w:space="0" w:color="auto"/>
        <w:left w:val="none" w:sz="0" w:space="0" w:color="auto"/>
        <w:bottom w:val="none" w:sz="0" w:space="0" w:color="auto"/>
        <w:right w:val="none" w:sz="0" w:space="0" w:color="auto"/>
      </w:divBdr>
      <w:divsChild>
        <w:div w:id="70348414">
          <w:marLeft w:val="0"/>
          <w:marRight w:val="0"/>
          <w:marTop w:val="0"/>
          <w:marBottom w:val="0"/>
          <w:divBdr>
            <w:top w:val="none" w:sz="0" w:space="0" w:color="auto"/>
            <w:left w:val="none" w:sz="0" w:space="0" w:color="auto"/>
            <w:bottom w:val="none" w:sz="0" w:space="0" w:color="auto"/>
            <w:right w:val="none" w:sz="0" w:space="0" w:color="auto"/>
          </w:divBdr>
          <w:divsChild>
            <w:div w:id="1837568331">
              <w:marLeft w:val="0"/>
              <w:marRight w:val="0"/>
              <w:marTop w:val="0"/>
              <w:marBottom w:val="0"/>
              <w:divBdr>
                <w:top w:val="none" w:sz="0" w:space="0" w:color="auto"/>
                <w:left w:val="none" w:sz="0" w:space="0" w:color="auto"/>
                <w:bottom w:val="none" w:sz="0" w:space="0" w:color="auto"/>
                <w:right w:val="none" w:sz="0" w:space="0" w:color="auto"/>
              </w:divBdr>
              <w:divsChild>
                <w:div w:id="1941527541">
                  <w:marLeft w:val="0"/>
                  <w:marRight w:val="0"/>
                  <w:marTop w:val="0"/>
                  <w:marBottom w:val="0"/>
                  <w:divBdr>
                    <w:top w:val="none" w:sz="0" w:space="0" w:color="auto"/>
                    <w:left w:val="none" w:sz="0" w:space="0" w:color="auto"/>
                    <w:bottom w:val="none" w:sz="0" w:space="0" w:color="auto"/>
                    <w:right w:val="none" w:sz="0" w:space="0" w:color="auto"/>
                  </w:divBdr>
                  <w:divsChild>
                    <w:div w:id="52243919">
                      <w:marLeft w:val="0"/>
                      <w:marRight w:val="0"/>
                      <w:marTop w:val="0"/>
                      <w:marBottom w:val="0"/>
                      <w:divBdr>
                        <w:top w:val="none" w:sz="0" w:space="0" w:color="auto"/>
                        <w:left w:val="none" w:sz="0" w:space="0" w:color="auto"/>
                        <w:bottom w:val="none" w:sz="0" w:space="0" w:color="auto"/>
                        <w:right w:val="none" w:sz="0" w:space="0" w:color="auto"/>
                      </w:divBdr>
                      <w:divsChild>
                        <w:div w:id="2112359608">
                          <w:marLeft w:val="0"/>
                          <w:marRight w:val="0"/>
                          <w:marTop w:val="0"/>
                          <w:marBottom w:val="0"/>
                          <w:divBdr>
                            <w:top w:val="none" w:sz="0" w:space="0" w:color="auto"/>
                            <w:left w:val="none" w:sz="0" w:space="0" w:color="auto"/>
                            <w:bottom w:val="none" w:sz="0" w:space="0" w:color="auto"/>
                            <w:right w:val="none" w:sz="0" w:space="0" w:color="auto"/>
                          </w:divBdr>
                          <w:divsChild>
                            <w:div w:id="1436904532">
                              <w:marLeft w:val="0"/>
                              <w:marRight w:val="0"/>
                              <w:marTop w:val="0"/>
                              <w:marBottom w:val="0"/>
                              <w:divBdr>
                                <w:top w:val="none" w:sz="0" w:space="0" w:color="auto"/>
                                <w:left w:val="none" w:sz="0" w:space="0" w:color="auto"/>
                                <w:bottom w:val="none" w:sz="0" w:space="0" w:color="auto"/>
                                <w:right w:val="none" w:sz="0" w:space="0" w:color="auto"/>
                              </w:divBdr>
                              <w:divsChild>
                                <w:div w:id="9961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rewrite/circulars/a087/a087-al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E669-4C22-449A-935D-ACBAD67B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Karmey Olson</dc:creator>
  <cp:keywords/>
  <dc:description/>
  <cp:lastModifiedBy>Karmey Olson</cp:lastModifiedBy>
  <cp:revision>9</cp:revision>
  <dcterms:created xsi:type="dcterms:W3CDTF">2010-04-15T01:14:00Z</dcterms:created>
  <dcterms:modified xsi:type="dcterms:W3CDTF">2010-04-27T16:01:00Z</dcterms:modified>
</cp:coreProperties>
</file>