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50857472">
            <wp:simplePos x="0" y="0"/>
            <wp:positionH relativeFrom="page">
              <wp:posOffset>247015</wp:posOffset>
            </wp:positionH>
            <wp:positionV relativeFrom="page">
              <wp:posOffset>5162550</wp:posOffset>
            </wp:positionV>
            <wp:extent cx="7216773" cy="135254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16773" cy="1352549"/>
                    </a:xfrm>
                    <a:prstGeom prst="rect">
                      <a:avLst/>
                    </a:prstGeom>
                  </pic:spPr>
                </pic:pic>
              </a:graphicData>
            </a:graphic>
          </wp:anchor>
        </w:drawing>
      </w:r>
    </w:p>
    <w:p>
      <w:pPr>
        <w:pStyle w:val="BodyText"/>
        <w:rPr>
          <w:rFonts w:ascii="Times New Roman"/>
          <w:sz w:val="20"/>
        </w:rPr>
      </w:pPr>
    </w:p>
    <w:p>
      <w:pPr>
        <w:spacing w:line="182" w:lineRule="auto" w:before="496"/>
        <w:ind w:left="279" w:right="1978" w:firstLine="0"/>
        <w:jc w:val="left"/>
        <w:rPr>
          <w:rFonts w:ascii="Open Sans"/>
          <w:b/>
          <w:sz w:val="100"/>
        </w:rPr>
      </w:pPr>
      <w:r>
        <w:rPr>
          <w:rFonts w:ascii="Open Sans"/>
          <w:b/>
          <w:color w:val="12284B"/>
          <w:sz w:val="100"/>
        </w:rPr>
        <w:t>State Foundation Aid &amp; Supplemental General State Aid</w:t>
      </w:r>
    </w:p>
    <w:p>
      <w:pPr>
        <w:pStyle w:val="BodyText"/>
        <w:rPr>
          <w:rFonts w:ascii="Open Sans"/>
          <w:b/>
          <w:sz w:val="20"/>
        </w:rPr>
      </w:pPr>
    </w:p>
    <w:p>
      <w:pPr>
        <w:pStyle w:val="BodyText"/>
        <w:rPr>
          <w:rFonts w:ascii="Open Sans"/>
          <w:b/>
          <w:sz w:val="20"/>
        </w:rPr>
      </w:pPr>
    </w:p>
    <w:p>
      <w:pPr>
        <w:pStyle w:val="BodyText"/>
        <w:rPr>
          <w:rFonts w:ascii="Open Sans"/>
          <w:b/>
          <w:sz w:val="20"/>
        </w:rPr>
      </w:pPr>
    </w:p>
    <w:p>
      <w:pPr>
        <w:pStyle w:val="BodyText"/>
        <w:spacing w:before="3"/>
        <w:rPr>
          <w:rFonts w:ascii="Open Sans"/>
          <w:b/>
          <w:sz w:val="14"/>
        </w:rPr>
      </w:pPr>
    </w:p>
    <w:p>
      <w:pPr>
        <w:spacing w:before="100"/>
        <w:ind w:left="411" w:right="0" w:firstLine="0"/>
        <w:jc w:val="left"/>
        <w:rPr>
          <w:b w:val="0"/>
          <w:sz w:val="36"/>
        </w:rPr>
      </w:pPr>
      <w:r>
        <w:rPr>
          <w:b w:val="0"/>
          <w:color w:val="00B795"/>
          <w:sz w:val="36"/>
        </w:rPr>
        <w:t>2020-2021</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3"/>
        <w:rPr>
          <w:b w:val="0"/>
          <w:sz w:val="24"/>
        </w:rPr>
      </w:pPr>
    </w:p>
    <w:p>
      <w:pPr>
        <w:spacing w:before="100"/>
        <w:ind w:left="3958" w:right="0" w:firstLine="0"/>
        <w:jc w:val="left"/>
        <w:rPr>
          <w:b w:val="0"/>
          <w:i/>
          <w:sz w:val="24"/>
        </w:rPr>
      </w:pPr>
      <w:r>
        <w:rPr/>
        <w:drawing>
          <wp:anchor distT="0" distB="0" distL="0" distR="0" allowOverlap="1" layoutInCell="1" locked="0" behindDoc="0" simplePos="0" relativeHeight="251659264">
            <wp:simplePos x="0" y="0"/>
            <wp:positionH relativeFrom="page">
              <wp:posOffset>857250</wp:posOffset>
            </wp:positionH>
            <wp:positionV relativeFrom="paragraph">
              <wp:posOffset>-701469</wp:posOffset>
            </wp:positionV>
            <wp:extent cx="1930899" cy="1109673"/>
            <wp:effectExtent l="0" t="0" r="0" b="0"/>
            <wp:wrapNone/>
            <wp:docPr id="3" name="image2.jpeg" descr="Kansas State Department of Education logo"/>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30899" cy="1109673"/>
                    </a:xfrm>
                    <a:prstGeom prst="rect">
                      <a:avLst/>
                    </a:prstGeom>
                  </pic:spPr>
                </pic:pic>
              </a:graphicData>
            </a:graphic>
          </wp:anchor>
        </w:drawing>
      </w:r>
      <w:r>
        <w:rPr>
          <w:b w:val="0"/>
          <w:i/>
          <w:color w:val="12284B"/>
          <w:sz w:val="24"/>
        </w:rPr>
        <w:t>Kansas leads the world in the success of each student.</w:t>
      </w:r>
    </w:p>
    <w:p>
      <w:pPr>
        <w:spacing w:after="0"/>
        <w:jc w:val="left"/>
        <w:rPr>
          <w:sz w:val="24"/>
        </w:rPr>
        <w:sectPr>
          <w:type w:val="continuous"/>
          <w:pgSz w:w="12240" w:h="15840"/>
          <w:pgMar w:top="1500" w:bottom="280" w:left="1180" w:right="1160"/>
        </w:sectPr>
      </w:pPr>
    </w:p>
    <w:p>
      <w:pPr>
        <w:pStyle w:val="BodyText"/>
        <w:spacing w:before="4"/>
        <w:rPr>
          <w:b w:val="0"/>
          <w:i/>
          <w:sz w:val="6"/>
        </w:rPr>
      </w:pPr>
    </w:p>
    <w:p>
      <w:pPr>
        <w:pStyle w:val="BodyText"/>
        <w:ind w:left="375"/>
        <w:rPr>
          <w:sz w:val="20"/>
        </w:rPr>
      </w:pPr>
      <w:r>
        <w:rPr>
          <w:sz w:val="20"/>
        </w:rPr>
        <w:drawing>
          <wp:inline distT="0" distB="0" distL="0" distR="0">
            <wp:extent cx="5777577" cy="7941564"/>
            <wp:effectExtent l="0" t="0" r="0" b="0"/>
            <wp:docPr id="5" name="image3.jpeg" descr="https://employee.ksde.org/LinkClick.aspx?fileticket=RuM5H_tlbWs%3d&amp;tabid=242&amp;mid=1009"/>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5777577" cy="7941564"/>
                    </a:xfrm>
                    <a:prstGeom prst="rect">
                      <a:avLst/>
                    </a:prstGeom>
                  </pic:spPr>
                </pic:pic>
              </a:graphicData>
            </a:graphic>
          </wp:inline>
        </w:drawing>
      </w:r>
      <w:r>
        <w:rPr>
          <w:sz w:val="20"/>
        </w:rPr>
      </w:r>
    </w:p>
    <w:p>
      <w:pPr>
        <w:spacing w:after="0"/>
        <w:rPr>
          <w:sz w:val="20"/>
        </w:rPr>
        <w:sectPr>
          <w:footerReference w:type="default" r:id="rId7"/>
          <w:pgSz w:w="12240" w:h="15840"/>
          <w:pgMar w:footer="1068" w:header="0" w:top="1500" w:bottom="1260" w:left="1180" w:right="1160"/>
          <w:pgNumType w:start="2"/>
        </w:sectPr>
      </w:pPr>
    </w:p>
    <w:p>
      <w:pPr>
        <w:spacing w:before="87"/>
        <w:ind w:left="260" w:right="0" w:firstLine="0"/>
        <w:jc w:val="left"/>
        <w:rPr>
          <w:b w:val="0"/>
          <w:sz w:val="16"/>
        </w:rPr>
      </w:pPr>
      <w:r>
        <w:rPr>
          <w:b w:val="0"/>
          <w:color w:val="2D2E31"/>
          <w:sz w:val="16"/>
        </w:rPr>
        <w:t>REVISION HISTORY | STATE FOUNDATION AID &amp; SUPPLEMENTAL GENERAL STATE AID</w:t>
      </w:r>
    </w:p>
    <w:p>
      <w:pPr>
        <w:pStyle w:val="BodyText"/>
        <w:spacing w:before="8"/>
        <w:rPr>
          <w:b w:val="0"/>
          <w:sz w:val="26"/>
        </w:rPr>
      </w:pPr>
    </w:p>
    <w:p>
      <w:pPr>
        <w:pStyle w:val="Heading1"/>
        <w:spacing w:before="0"/>
      </w:pPr>
      <w:bookmarkStart w:name="Revision History" w:id="1"/>
      <w:bookmarkEnd w:id="1"/>
      <w:r>
        <w:rPr>
          <w:b w:val="0"/>
        </w:rPr>
      </w:r>
      <w:bookmarkStart w:name="_bookmark0" w:id="2"/>
      <w:bookmarkEnd w:id="2"/>
      <w:r>
        <w:rPr>
          <w:b w:val="0"/>
        </w:rPr>
      </w:r>
      <w:r>
        <w:rPr>
          <w:color w:val="12284B"/>
        </w:rPr>
        <w:t>Revision History</w:t>
      </w:r>
    </w:p>
    <w:p>
      <w:pPr>
        <w:pStyle w:val="BodyText"/>
        <w:spacing w:before="4"/>
        <w:rPr>
          <w:rFonts w:ascii="Open Sans"/>
          <w:b/>
          <w:sz w:val="26"/>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6204"/>
        <w:gridCol w:w="2071"/>
      </w:tblGrid>
      <w:tr>
        <w:trPr>
          <w:trHeight w:val="532" w:hRule="atLeast"/>
        </w:trPr>
        <w:tc>
          <w:tcPr>
            <w:tcW w:w="1260" w:type="dxa"/>
            <w:tcBorders>
              <w:right w:val="single" w:sz="4" w:space="0" w:color="005486"/>
            </w:tcBorders>
            <w:shd w:val="clear" w:color="auto" w:fill="FFA300"/>
          </w:tcPr>
          <w:p>
            <w:pPr>
              <w:pStyle w:val="TableParagraph"/>
              <w:spacing w:before="163"/>
              <w:ind w:left="115"/>
              <w:rPr>
                <w:rFonts w:ascii="Open Sans Semibold"/>
                <w:b/>
                <w:sz w:val="24"/>
              </w:rPr>
            </w:pPr>
            <w:r>
              <w:rPr>
                <w:rFonts w:ascii="Open Sans Semibold"/>
                <w:b/>
                <w:color w:val="12284B"/>
                <w:sz w:val="24"/>
              </w:rPr>
              <w:t>Date</w:t>
            </w:r>
          </w:p>
        </w:tc>
        <w:tc>
          <w:tcPr>
            <w:tcW w:w="6204" w:type="dxa"/>
            <w:tcBorders>
              <w:left w:val="single" w:sz="4" w:space="0" w:color="005486"/>
              <w:right w:val="single" w:sz="4" w:space="0" w:color="005486"/>
            </w:tcBorders>
            <w:shd w:val="clear" w:color="auto" w:fill="FFA300"/>
          </w:tcPr>
          <w:p>
            <w:pPr>
              <w:pStyle w:val="TableParagraph"/>
              <w:spacing w:before="163"/>
              <w:ind w:left="107"/>
              <w:rPr>
                <w:rFonts w:ascii="Open Sans Semibold"/>
                <w:b/>
                <w:sz w:val="24"/>
              </w:rPr>
            </w:pPr>
            <w:r>
              <w:rPr>
                <w:rFonts w:ascii="Open Sans Semibold"/>
                <w:b/>
                <w:color w:val="12284B"/>
                <w:sz w:val="24"/>
              </w:rPr>
              <w:t>Reason of Change</w:t>
            </w:r>
          </w:p>
        </w:tc>
        <w:tc>
          <w:tcPr>
            <w:tcW w:w="2071" w:type="dxa"/>
            <w:tcBorders>
              <w:left w:val="single" w:sz="4" w:space="0" w:color="005486"/>
            </w:tcBorders>
            <w:shd w:val="clear" w:color="auto" w:fill="FFA300"/>
          </w:tcPr>
          <w:p>
            <w:pPr>
              <w:pStyle w:val="TableParagraph"/>
              <w:spacing w:before="163"/>
              <w:ind w:left="110"/>
              <w:rPr>
                <w:rFonts w:ascii="Open Sans Semibold"/>
                <w:b/>
                <w:sz w:val="24"/>
              </w:rPr>
            </w:pPr>
            <w:r>
              <w:rPr>
                <w:rFonts w:ascii="Open Sans Semibold"/>
                <w:b/>
                <w:color w:val="12284B"/>
                <w:sz w:val="24"/>
              </w:rPr>
              <w:t>Edited By</w:t>
            </w:r>
          </w:p>
        </w:tc>
      </w:tr>
      <w:tr>
        <w:trPr>
          <w:trHeight w:val="460" w:hRule="atLeast"/>
        </w:trPr>
        <w:tc>
          <w:tcPr>
            <w:tcW w:w="1260" w:type="dxa"/>
            <w:tcBorders>
              <w:right w:val="single" w:sz="4" w:space="0" w:color="005486"/>
            </w:tcBorders>
          </w:tcPr>
          <w:p>
            <w:pPr>
              <w:pStyle w:val="TableParagraph"/>
              <w:rPr>
                <w:rFonts w:ascii="Times New Roman"/>
                <w:sz w:val="22"/>
              </w:rPr>
            </w:pPr>
          </w:p>
        </w:tc>
        <w:tc>
          <w:tcPr>
            <w:tcW w:w="6204" w:type="dxa"/>
            <w:tcBorders>
              <w:left w:val="single" w:sz="4" w:space="0" w:color="005486"/>
              <w:right w:val="single" w:sz="4" w:space="0" w:color="005486"/>
            </w:tcBorders>
          </w:tcPr>
          <w:p>
            <w:pPr>
              <w:pStyle w:val="TableParagraph"/>
              <w:rPr>
                <w:rFonts w:ascii="Times New Roman"/>
                <w:sz w:val="22"/>
              </w:rPr>
            </w:pPr>
          </w:p>
        </w:tc>
        <w:tc>
          <w:tcPr>
            <w:tcW w:w="2071" w:type="dxa"/>
            <w:tcBorders>
              <w:left w:val="single" w:sz="4" w:space="0" w:color="005486"/>
            </w:tcBorders>
          </w:tcPr>
          <w:p>
            <w:pPr>
              <w:pStyle w:val="TableParagraph"/>
              <w:rPr>
                <w:rFonts w:ascii="Times New Roman"/>
                <w:sz w:val="22"/>
              </w:rPr>
            </w:pPr>
          </w:p>
        </w:tc>
      </w:tr>
      <w:tr>
        <w:trPr>
          <w:trHeight w:val="460" w:hRule="atLeast"/>
        </w:trPr>
        <w:tc>
          <w:tcPr>
            <w:tcW w:w="1260" w:type="dxa"/>
            <w:tcBorders>
              <w:right w:val="single" w:sz="4" w:space="0" w:color="005486"/>
            </w:tcBorders>
            <w:shd w:val="clear" w:color="auto" w:fill="D9D9D9"/>
          </w:tcPr>
          <w:p>
            <w:pPr>
              <w:pStyle w:val="TableParagraph"/>
              <w:rPr>
                <w:rFonts w:ascii="Times New Roman"/>
                <w:sz w:val="22"/>
              </w:rPr>
            </w:pPr>
          </w:p>
        </w:tc>
        <w:tc>
          <w:tcPr>
            <w:tcW w:w="6204" w:type="dxa"/>
            <w:tcBorders>
              <w:left w:val="single" w:sz="4" w:space="0" w:color="005486"/>
              <w:right w:val="single" w:sz="4" w:space="0" w:color="005486"/>
            </w:tcBorders>
            <w:shd w:val="clear" w:color="auto" w:fill="D9D9D9"/>
          </w:tcPr>
          <w:p>
            <w:pPr>
              <w:pStyle w:val="TableParagraph"/>
              <w:rPr>
                <w:rFonts w:ascii="Times New Roman"/>
                <w:sz w:val="22"/>
              </w:rPr>
            </w:pPr>
          </w:p>
        </w:tc>
        <w:tc>
          <w:tcPr>
            <w:tcW w:w="2071" w:type="dxa"/>
            <w:tcBorders>
              <w:left w:val="single" w:sz="4" w:space="0" w:color="005486"/>
            </w:tcBorders>
            <w:shd w:val="clear" w:color="auto" w:fill="D9D9D9"/>
          </w:tcPr>
          <w:p>
            <w:pPr>
              <w:pStyle w:val="TableParagraph"/>
              <w:rPr>
                <w:rFonts w:ascii="Times New Roman"/>
                <w:sz w:val="22"/>
              </w:rPr>
            </w:pPr>
          </w:p>
        </w:tc>
      </w:tr>
      <w:tr>
        <w:trPr>
          <w:trHeight w:val="458" w:hRule="atLeast"/>
        </w:trPr>
        <w:tc>
          <w:tcPr>
            <w:tcW w:w="1260" w:type="dxa"/>
            <w:tcBorders>
              <w:right w:val="single" w:sz="4" w:space="0" w:color="005486"/>
            </w:tcBorders>
          </w:tcPr>
          <w:p>
            <w:pPr>
              <w:pStyle w:val="TableParagraph"/>
              <w:rPr>
                <w:rFonts w:ascii="Times New Roman"/>
                <w:sz w:val="22"/>
              </w:rPr>
            </w:pPr>
          </w:p>
        </w:tc>
        <w:tc>
          <w:tcPr>
            <w:tcW w:w="6204" w:type="dxa"/>
            <w:tcBorders>
              <w:left w:val="single" w:sz="4" w:space="0" w:color="005486"/>
              <w:right w:val="single" w:sz="4" w:space="0" w:color="005486"/>
            </w:tcBorders>
          </w:tcPr>
          <w:p>
            <w:pPr>
              <w:pStyle w:val="TableParagraph"/>
              <w:rPr>
                <w:rFonts w:ascii="Times New Roman"/>
                <w:sz w:val="22"/>
              </w:rPr>
            </w:pPr>
          </w:p>
        </w:tc>
        <w:tc>
          <w:tcPr>
            <w:tcW w:w="2071" w:type="dxa"/>
            <w:tcBorders>
              <w:left w:val="single" w:sz="4" w:space="0" w:color="005486"/>
            </w:tcBorders>
          </w:tcPr>
          <w:p>
            <w:pPr>
              <w:pStyle w:val="TableParagraph"/>
              <w:rPr>
                <w:rFonts w:ascii="Times New Roman"/>
                <w:sz w:val="22"/>
              </w:rPr>
            </w:pPr>
          </w:p>
        </w:tc>
      </w:tr>
      <w:tr>
        <w:trPr>
          <w:trHeight w:val="460" w:hRule="atLeast"/>
        </w:trPr>
        <w:tc>
          <w:tcPr>
            <w:tcW w:w="1260" w:type="dxa"/>
            <w:tcBorders>
              <w:right w:val="single" w:sz="4" w:space="0" w:color="005486"/>
            </w:tcBorders>
            <w:shd w:val="clear" w:color="auto" w:fill="D9D9D9"/>
          </w:tcPr>
          <w:p>
            <w:pPr>
              <w:pStyle w:val="TableParagraph"/>
              <w:rPr>
                <w:rFonts w:ascii="Times New Roman"/>
                <w:sz w:val="22"/>
              </w:rPr>
            </w:pPr>
          </w:p>
        </w:tc>
        <w:tc>
          <w:tcPr>
            <w:tcW w:w="6204" w:type="dxa"/>
            <w:tcBorders>
              <w:left w:val="single" w:sz="4" w:space="0" w:color="005486"/>
              <w:right w:val="single" w:sz="4" w:space="0" w:color="005486"/>
            </w:tcBorders>
            <w:shd w:val="clear" w:color="auto" w:fill="D9D9D9"/>
          </w:tcPr>
          <w:p>
            <w:pPr>
              <w:pStyle w:val="TableParagraph"/>
              <w:rPr>
                <w:rFonts w:ascii="Times New Roman"/>
                <w:sz w:val="22"/>
              </w:rPr>
            </w:pPr>
          </w:p>
        </w:tc>
        <w:tc>
          <w:tcPr>
            <w:tcW w:w="2071" w:type="dxa"/>
            <w:tcBorders>
              <w:left w:val="single" w:sz="4" w:space="0" w:color="005486"/>
            </w:tcBorders>
            <w:shd w:val="clear" w:color="auto" w:fill="D9D9D9"/>
          </w:tcPr>
          <w:p>
            <w:pPr>
              <w:pStyle w:val="TableParagraph"/>
              <w:rPr>
                <w:rFonts w:ascii="Times New Roman"/>
                <w:sz w:val="22"/>
              </w:rPr>
            </w:pPr>
          </w:p>
        </w:tc>
      </w:tr>
      <w:tr>
        <w:trPr>
          <w:trHeight w:val="458" w:hRule="atLeast"/>
        </w:trPr>
        <w:tc>
          <w:tcPr>
            <w:tcW w:w="1260" w:type="dxa"/>
            <w:tcBorders>
              <w:right w:val="single" w:sz="4" w:space="0" w:color="005486"/>
            </w:tcBorders>
          </w:tcPr>
          <w:p>
            <w:pPr>
              <w:pStyle w:val="TableParagraph"/>
              <w:rPr>
                <w:rFonts w:ascii="Times New Roman"/>
                <w:sz w:val="22"/>
              </w:rPr>
            </w:pPr>
          </w:p>
        </w:tc>
        <w:tc>
          <w:tcPr>
            <w:tcW w:w="6204" w:type="dxa"/>
            <w:tcBorders>
              <w:left w:val="single" w:sz="4" w:space="0" w:color="005486"/>
              <w:right w:val="single" w:sz="4" w:space="0" w:color="005486"/>
            </w:tcBorders>
          </w:tcPr>
          <w:p>
            <w:pPr>
              <w:pStyle w:val="TableParagraph"/>
              <w:rPr>
                <w:rFonts w:ascii="Times New Roman"/>
                <w:sz w:val="22"/>
              </w:rPr>
            </w:pPr>
          </w:p>
        </w:tc>
        <w:tc>
          <w:tcPr>
            <w:tcW w:w="2071" w:type="dxa"/>
            <w:tcBorders>
              <w:left w:val="single" w:sz="4" w:space="0" w:color="005486"/>
            </w:tcBorders>
          </w:tcPr>
          <w:p>
            <w:pPr>
              <w:pStyle w:val="TableParagraph"/>
              <w:rPr>
                <w:rFonts w:ascii="Times New Roman"/>
                <w:sz w:val="22"/>
              </w:rPr>
            </w:pPr>
          </w:p>
        </w:tc>
      </w:tr>
    </w:tbl>
    <w:p>
      <w:pPr>
        <w:pStyle w:val="BodyText"/>
        <w:spacing w:before="1"/>
        <w:rPr>
          <w:rFonts w:ascii="Open Sans"/>
          <w:b/>
          <w:sz w:val="44"/>
        </w:rPr>
      </w:pPr>
    </w:p>
    <w:p>
      <w:pPr>
        <w:pStyle w:val="Heading1"/>
        <w:spacing w:before="0"/>
      </w:pPr>
      <w:bookmarkStart w:name="Related Documents" w:id="3"/>
      <w:bookmarkEnd w:id="3"/>
      <w:r>
        <w:rPr>
          <w:b w:val="0"/>
        </w:rPr>
      </w:r>
      <w:bookmarkStart w:name="_bookmark1" w:id="4"/>
      <w:bookmarkEnd w:id="4"/>
      <w:r>
        <w:rPr>
          <w:b w:val="0"/>
        </w:rPr>
      </w:r>
      <w:r>
        <w:rPr>
          <w:color w:val="12284B"/>
        </w:rPr>
        <w:t>Related Documents</w:t>
      </w:r>
    </w:p>
    <w:p>
      <w:pPr>
        <w:pStyle w:val="BodyText"/>
        <w:spacing w:before="7"/>
        <w:rPr>
          <w:rFonts w:ascii="Open Sans"/>
          <w:b/>
          <w:sz w:val="26"/>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4"/>
        <w:gridCol w:w="2976"/>
        <w:gridCol w:w="3955"/>
      </w:tblGrid>
      <w:tr>
        <w:trPr>
          <w:trHeight w:val="532" w:hRule="atLeast"/>
        </w:trPr>
        <w:tc>
          <w:tcPr>
            <w:tcW w:w="2604" w:type="dxa"/>
            <w:tcBorders>
              <w:right w:val="single" w:sz="4" w:space="0" w:color="005486"/>
            </w:tcBorders>
            <w:shd w:val="clear" w:color="auto" w:fill="FFA300"/>
          </w:tcPr>
          <w:p>
            <w:pPr>
              <w:pStyle w:val="TableParagraph"/>
              <w:spacing w:before="163"/>
              <w:ind w:left="115"/>
              <w:rPr>
                <w:rFonts w:ascii="Open Sans Semibold"/>
                <w:b/>
                <w:sz w:val="24"/>
              </w:rPr>
            </w:pPr>
            <w:r>
              <w:rPr>
                <w:rFonts w:ascii="Open Sans Semibold"/>
                <w:b/>
                <w:color w:val="12284B"/>
                <w:sz w:val="24"/>
              </w:rPr>
              <w:t>Document Title</w:t>
            </w:r>
          </w:p>
        </w:tc>
        <w:tc>
          <w:tcPr>
            <w:tcW w:w="2976" w:type="dxa"/>
            <w:tcBorders>
              <w:left w:val="single" w:sz="4" w:space="0" w:color="005486"/>
              <w:right w:val="single" w:sz="4" w:space="0" w:color="005486"/>
            </w:tcBorders>
            <w:shd w:val="clear" w:color="auto" w:fill="FFA300"/>
          </w:tcPr>
          <w:p>
            <w:pPr>
              <w:pStyle w:val="TableParagraph"/>
              <w:spacing w:before="163"/>
              <w:ind w:left="110"/>
              <w:rPr>
                <w:rFonts w:ascii="Open Sans Semibold"/>
                <w:b/>
                <w:sz w:val="24"/>
              </w:rPr>
            </w:pPr>
            <w:r>
              <w:rPr>
                <w:rFonts w:ascii="Open Sans Semibold"/>
                <w:b/>
                <w:color w:val="12284B"/>
                <w:sz w:val="24"/>
              </w:rPr>
              <w:t>Document Location</w:t>
            </w:r>
          </w:p>
        </w:tc>
        <w:tc>
          <w:tcPr>
            <w:tcW w:w="3955" w:type="dxa"/>
            <w:tcBorders>
              <w:left w:val="single" w:sz="4" w:space="0" w:color="005486"/>
            </w:tcBorders>
            <w:shd w:val="clear" w:color="auto" w:fill="FFA300"/>
          </w:tcPr>
          <w:p>
            <w:pPr>
              <w:pStyle w:val="TableParagraph"/>
              <w:spacing w:before="163"/>
              <w:ind w:left="110"/>
              <w:rPr>
                <w:rFonts w:ascii="Open Sans Semibold"/>
                <w:b/>
                <w:sz w:val="24"/>
              </w:rPr>
            </w:pPr>
            <w:r>
              <w:rPr>
                <w:rFonts w:ascii="Open Sans Semibold"/>
                <w:b/>
                <w:color w:val="12284B"/>
                <w:sz w:val="24"/>
              </w:rPr>
              <w:t>Comments</w:t>
            </w:r>
          </w:p>
        </w:tc>
      </w:tr>
      <w:tr>
        <w:trPr>
          <w:trHeight w:val="686" w:hRule="atLeast"/>
        </w:trPr>
        <w:tc>
          <w:tcPr>
            <w:tcW w:w="2604" w:type="dxa"/>
            <w:tcBorders>
              <w:right w:val="single" w:sz="4" w:space="0" w:color="005486"/>
            </w:tcBorders>
          </w:tcPr>
          <w:p>
            <w:pPr>
              <w:pStyle w:val="TableParagraph"/>
              <w:spacing w:before="192"/>
              <w:ind w:left="115"/>
              <w:rPr>
                <w:b w:val="0"/>
                <w:sz w:val="22"/>
              </w:rPr>
            </w:pPr>
            <w:hyperlink r:id="rId9">
              <w:r>
                <w:rPr>
                  <w:b w:val="0"/>
                  <w:color w:val="12284B"/>
                  <w:sz w:val="22"/>
                  <w:u w:val="single" w:color="12284B"/>
                </w:rPr>
                <w:t>Enrollment Handbook</w:t>
              </w:r>
            </w:hyperlink>
          </w:p>
        </w:tc>
        <w:tc>
          <w:tcPr>
            <w:tcW w:w="2976" w:type="dxa"/>
            <w:tcBorders>
              <w:left w:val="single" w:sz="4" w:space="0" w:color="005486"/>
              <w:right w:val="single" w:sz="4" w:space="0" w:color="005486"/>
            </w:tcBorders>
          </w:tcPr>
          <w:p>
            <w:pPr>
              <w:pStyle w:val="TableParagraph"/>
              <w:spacing w:before="43"/>
              <w:ind w:left="110"/>
              <w:rPr>
                <w:rFonts w:ascii="Wingdings" w:hAnsi="Wingdings"/>
                <w:sz w:val="22"/>
              </w:rPr>
            </w:pPr>
            <w:hyperlink r:id="rId10">
              <w:r>
                <w:rPr>
                  <w:b w:val="0"/>
                  <w:color w:val="12284B"/>
                  <w:sz w:val="22"/>
                  <w:u w:val="single" w:color="12284B"/>
                </w:rPr>
                <w:t>Fiscal Auditing</w:t>
              </w:r>
              <w:r>
                <w:rPr>
                  <w:b w:val="0"/>
                  <w:color w:val="12284B"/>
                  <w:sz w:val="22"/>
                </w:rPr>
                <w:t> </w:t>
              </w:r>
            </w:hyperlink>
            <w:r>
              <w:rPr>
                <w:rFonts w:ascii="Wingdings" w:hAnsi="Wingdings"/>
                <w:sz w:val="22"/>
              </w:rPr>
              <w:t></w:t>
            </w:r>
          </w:p>
          <w:p>
            <w:pPr>
              <w:pStyle w:val="TableParagraph"/>
              <w:ind w:left="110"/>
              <w:rPr>
                <w:b w:val="0"/>
                <w:sz w:val="22"/>
              </w:rPr>
            </w:pPr>
            <w:hyperlink r:id="rId9">
              <w:r>
                <w:rPr>
                  <w:b w:val="0"/>
                  <w:color w:val="12284B"/>
                  <w:sz w:val="22"/>
                  <w:u w:val="single" w:color="12284B"/>
                </w:rPr>
                <w:t>Enrollment Handbook</w:t>
              </w:r>
            </w:hyperlink>
          </w:p>
        </w:tc>
        <w:tc>
          <w:tcPr>
            <w:tcW w:w="3955" w:type="dxa"/>
            <w:tcBorders>
              <w:left w:val="single" w:sz="4" w:space="0" w:color="005486"/>
            </w:tcBorders>
          </w:tcPr>
          <w:p>
            <w:pPr>
              <w:pStyle w:val="TableParagraph"/>
              <w:spacing w:before="43"/>
              <w:ind w:left="110" w:right="1090"/>
              <w:rPr>
                <w:b w:val="0"/>
                <w:sz w:val="22"/>
              </w:rPr>
            </w:pPr>
            <w:r>
              <w:rPr>
                <w:b w:val="0"/>
                <w:sz w:val="22"/>
              </w:rPr>
              <w:t>For information on how FTE enrollment is counted.</w:t>
            </w:r>
          </w:p>
        </w:tc>
      </w:tr>
      <w:tr>
        <w:trPr>
          <w:trHeight w:val="460" w:hRule="atLeast"/>
        </w:trPr>
        <w:tc>
          <w:tcPr>
            <w:tcW w:w="2604" w:type="dxa"/>
            <w:tcBorders>
              <w:right w:val="single" w:sz="4" w:space="0" w:color="005486"/>
            </w:tcBorders>
            <w:shd w:val="clear" w:color="auto" w:fill="D9D9D9"/>
          </w:tcPr>
          <w:p>
            <w:pPr>
              <w:pStyle w:val="TableParagraph"/>
              <w:rPr>
                <w:rFonts w:ascii="Times New Roman"/>
                <w:sz w:val="22"/>
              </w:rPr>
            </w:pPr>
          </w:p>
        </w:tc>
        <w:tc>
          <w:tcPr>
            <w:tcW w:w="2976" w:type="dxa"/>
            <w:tcBorders>
              <w:left w:val="single" w:sz="4" w:space="0" w:color="005486"/>
              <w:right w:val="single" w:sz="4" w:space="0" w:color="005486"/>
            </w:tcBorders>
            <w:shd w:val="clear" w:color="auto" w:fill="D9D9D9"/>
          </w:tcPr>
          <w:p>
            <w:pPr>
              <w:pStyle w:val="TableParagraph"/>
              <w:rPr>
                <w:rFonts w:ascii="Times New Roman"/>
                <w:sz w:val="22"/>
              </w:rPr>
            </w:pPr>
          </w:p>
        </w:tc>
        <w:tc>
          <w:tcPr>
            <w:tcW w:w="3955" w:type="dxa"/>
            <w:tcBorders>
              <w:left w:val="single" w:sz="4" w:space="0" w:color="005486"/>
            </w:tcBorders>
            <w:shd w:val="clear" w:color="auto" w:fill="D9D9D9"/>
          </w:tcPr>
          <w:p>
            <w:pPr>
              <w:pStyle w:val="TableParagraph"/>
              <w:rPr>
                <w:rFonts w:ascii="Times New Roman"/>
                <w:sz w:val="22"/>
              </w:rPr>
            </w:pPr>
          </w:p>
        </w:tc>
      </w:tr>
      <w:tr>
        <w:trPr>
          <w:trHeight w:val="458" w:hRule="atLeast"/>
        </w:trPr>
        <w:tc>
          <w:tcPr>
            <w:tcW w:w="2604" w:type="dxa"/>
            <w:tcBorders>
              <w:right w:val="single" w:sz="4" w:space="0" w:color="005486"/>
            </w:tcBorders>
          </w:tcPr>
          <w:p>
            <w:pPr>
              <w:pStyle w:val="TableParagraph"/>
              <w:rPr>
                <w:rFonts w:ascii="Times New Roman"/>
                <w:sz w:val="22"/>
              </w:rPr>
            </w:pPr>
          </w:p>
        </w:tc>
        <w:tc>
          <w:tcPr>
            <w:tcW w:w="2976" w:type="dxa"/>
            <w:tcBorders>
              <w:left w:val="single" w:sz="4" w:space="0" w:color="005486"/>
              <w:right w:val="single" w:sz="4" w:space="0" w:color="005486"/>
            </w:tcBorders>
          </w:tcPr>
          <w:p>
            <w:pPr>
              <w:pStyle w:val="TableParagraph"/>
              <w:rPr>
                <w:rFonts w:ascii="Times New Roman"/>
                <w:sz w:val="22"/>
              </w:rPr>
            </w:pPr>
          </w:p>
        </w:tc>
        <w:tc>
          <w:tcPr>
            <w:tcW w:w="3955" w:type="dxa"/>
            <w:tcBorders>
              <w:left w:val="single" w:sz="4" w:space="0" w:color="005486"/>
            </w:tcBorders>
          </w:tcPr>
          <w:p>
            <w:pPr>
              <w:pStyle w:val="TableParagraph"/>
              <w:rPr>
                <w:rFonts w:ascii="Times New Roman"/>
                <w:sz w:val="22"/>
              </w:rPr>
            </w:pPr>
          </w:p>
        </w:tc>
      </w:tr>
      <w:tr>
        <w:trPr>
          <w:trHeight w:val="460" w:hRule="atLeast"/>
        </w:trPr>
        <w:tc>
          <w:tcPr>
            <w:tcW w:w="2604" w:type="dxa"/>
            <w:tcBorders>
              <w:right w:val="single" w:sz="4" w:space="0" w:color="005486"/>
            </w:tcBorders>
            <w:shd w:val="clear" w:color="auto" w:fill="D9D9D9"/>
          </w:tcPr>
          <w:p>
            <w:pPr>
              <w:pStyle w:val="TableParagraph"/>
              <w:rPr>
                <w:rFonts w:ascii="Times New Roman"/>
                <w:sz w:val="22"/>
              </w:rPr>
            </w:pPr>
          </w:p>
        </w:tc>
        <w:tc>
          <w:tcPr>
            <w:tcW w:w="2976" w:type="dxa"/>
            <w:tcBorders>
              <w:left w:val="single" w:sz="4" w:space="0" w:color="005486"/>
              <w:right w:val="single" w:sz="4" w:space="0" w:color="005486"/>
            </w:tcBorders>
            <w:shd w:val="clear" w:color="auto" w:fill="D9D9D9"/>
          </w:tcPr>
          <w:p>
            <w:pPr>
              <w:pStyle w:val="TableParagraph"/>
              <w:rPr>
                <w:rFonts w:ascii="Times New Roman"/>
                <w:sz w:val="22"/>
              </w:rPr>
            </w:pPr>
          </w:p>
        </w:tc>
        <w:tc>
          <w:tcPr>
            <w:tcW w:w="3955" w:type="dxa"/>
            <w:tcBorders>
              <w:left w:val="single" w:sz="4" w:space="0" w:color="005486"/>
            </w:tcBorders>
            <w:shd w:val="clear" w:color="auto" w:fill="D9D9D9"/>
          </w:tcPr>
          <w:p>
            <w:pPr>
              <w:pStyle w:val="TableParagraph"/>
              <w:rPr>
                <w:rFonts w:ascii="Times New Roman"/>
                <w:sz w:val="22"/>
              </w:rPr>
            </w:pPr>
          </w:p>
        </w:tc>
      </w:tr>
    </w:tbl>
    <w:p>
      <w:pPr>
        <w:spacing w:after="0"/>
        <w:rPr>
          <w:rFonts w:ascii="Times New Roman"/>
          <w:sz w:val="22"/>
        </w:rPr>
        <w:sectPr>
          <w:pgSz w:w="12240" w:h="15840"/>
          <w:pgMar w:header="0" w:footer="1068" w:top="920" w:bottom="1260" w:left="1180" w:right="1160"/>
        </w:sectPr>
      </w:pPr>
    </w:p>
    <w:p>
      <w:pPr>
        <w:pStyle w:val="Heading1"/>
        <w:spacing w:before="120"/>
      </w:pPr>
      <w:bookmarkStart w:name="Table of Contents" w:id="5"/>
      <w:bookmarkEnd w:id="5"/>
      <w:r>
        <w:rPr>
          <w:b w:val="0"/>
        </w:rPr>
      </w:r>
      <w:bookmarkStart w:name="_bookmark2" w:id="6"/>
      <w:bookmarkEnd w:id="6"/>
      <w:r>
        <w:rPr>
          <w:b w:val="0"/>
        </w:rPr>
      </w:r>
      <w:r>
        <w:rPr>
          <w:color w:val="12284B"/>
        </w:rPr>
        <w:t>Table of Contents</w:t>
      </w:r>
    </w:p>
    <w:sdt>
      <w:sdtPr>
        <w:docPartObj>
          <w:docPartGallery w:val="Table of Contents"/>
          <w:docPartUnique/>
        </w:docPartObj>
      </w:sdtPr>
      <w:sdtEndPr/>
      <w:sdtContent>
        <w:p>
          <w:pPr>
            <w:pStyle w:val="TOC1"/>
            <w:tabs>
              <w:tab w:pos="8900" w:val="right" w:leader="dot"/>
            </w:tabs>
            <w:spacing w:before="359"/>
            <w:ind w:left="260"/>
          </w:pPr>
          <w:hyperlink w:history="true" w:anchor="_bookmark0">
            <w:r>
              <w:rPr/>
              <w:t>Revision</w:t>
            </w:r>
            <w:r>
              <w:rPr>
                <w:spacing w:val="-2"/>
              </w:rPr>
              <w:t> </w:t>
            </w:r>
            <w:r>
              <w:rPr/>
              <w:t>History</w:t>
              <w:tab/>
              <w:t>3</w:t>
            </w:r>
          </w:hyperlink>
        </w:p>
        <w:p>
          <w:pPr>
            <w:pStyle w:val="TOC1"/>
            <w:tabs>
              <w:tab w:pos="8900" w:val="right" w:leader="dot"/>
            </w:tabs>
            <w:spacing w:before="120"/>
            <w:ind w:left="259"/>
          </w:pPr>
          <w:hyperlink w:history="true" w:anchor="_bookmark1">
            <w:r>
              <w:rPr/>
              <w:t>Related</w:t>
            </w:r>
            <w:r>
              <w:rPr>
                <w:spacing w:val="-2"/>
              </w:rPr>
              <w:t> </w:t>
            </w:r>
            <w:r>
              <w:rPr/>
              <w:t>Documents</w:t>
              <w:tab/>
              <w:t>3</w:t>
            </w:r>
          </w:hyperlink>
        </w:p>
        <w:p>
          <w:pPr>
            <w:pStyle w:val="TOC1"/>
            <w:tabs>
              <w:tab w:pos="8899" w:val="right" w:leader="dot"/>
            </w:tabs>
            <w:ind w:left="259"/>
          </w:pPr>
          <w:hyperlink w:history="true" w:anchor="_bookmark2">
            <w:r>
              <w:rPr/>
              <w:t>Table</w:t>
            </w:r>
            <w:r>
              <w:rPr>
                <w:spacing w:val="-2"/>
              </w:rPr>
              <w:t> </w:t>
            </w:r>
            <w:r>
              <w:rPr/>
              <w:t>of</w:t>
            </w:r>
            <w:r>
              <w:rPr>
                <w:spacing w:val="-2"/>
              </w:rPr>
              <w:t> </w:t>
            </w:r>
            <w:r>
              <w:rPr/>
              <w:t>Contents</w:t>
              <w:tab/>
              <w:t>4</w:t>
            </w:r>
          </w:hyperlink>
        </w:p>
        <w:p>
          <w:pPr>
            <w:pStyle w:val="TOC1"/>
            <w:tabs>
              <w:tab w:pos="8899" w:val="right" w:leader="dot"/>
            </w:tabs>
            <w:spacing w:before="120"/>
          </w:pPr>
          <w:hyperlink w:history="true" w:anchor="_bookmark3">
            <w:r>
              <w:rPr/>
              <w:t>Introduction</w:t>
              <w:tab/>
              <w:t>5</w:t>
            </w:r>
          </w:hyperlink>
        </w:p>
        <w:p>
          <w:pPr>
            <w:pStyle w:val="TOC1"/>
            <w:tabs>
              <w:tab w:pos="8899" w:val="right" w:leader="dot"/>
            </w:tabs>
            <w:spacing w:before="120"/>
          </w:pPr>
          <w:hyperlink w:history="true" w:anchor="_bookmark4">
            <w:r>
              <w:rPr/>
              <w:t>Glossary</w:t>
              <w:tab/>
              <w:t>6</w:t>
            </w:r>
          </w:hyperlink>
        </w:p>
        <w:p>
          <w:pPr>
            <w:pStyle w:val="TOC1"/>
            <w:tabs>
              <w:tab w:pos="8899" w:val="right" w:leader="dot"/>
            </w:tabs>
          </w:pPr>
          <w:hyperlink w:history="true" w:anchor="_bookmark11">
            <w:r>
              <w:rPr/>
              <w:t>FTE Enrollment</w:t>
              <w:tab/>
              <w:t>7</w:t>
            </w:r>
          </w:hyperlink>
        </w:p>
        <w:p>
          <w:pPr>
            <w:pStyle w:val="TOC2"/>
            <w:tabs>
              <w:tab w:pos="8898" w:val="right" w:leader="dot"/>
            </w:tabs>
            <w:spacing w:before="118"/>
          </w:pPr>
          <w:hyperlink w:history="true" w:anchor="_bookmark12">
            <w:r>
              <w:rPr/>
              <w:t>February 20</w:t>
            </w:r>
            <w:r>
              <w:rPr>
                <w:position w:val="7"/>
                <w:sz w:val="13"/>
              </w:rPr>
              <w:t>th</w:t>
            </w:r>
            <w:r>
              <w:rPr>
                <w:spacing w:val="18"/>
                <w:position w:val="7"/>
                <w:sz w:val="13"/>
              </w:rPr>
              <w:t> </w:t>
            </w:r>
            <w:r>
              <w:rPr/>
              <w:t>Count Day</w:t>
              <w:tab/>
              <w:t>7</w:t>
            </w:r>
          </w:hyperlink>
        </w:p>
        <w:p>
          <w:pPr>
            <w:pStyle w:val="TOC1"/>
            <w:tabs>
              <w:tab w:pos="8900" w:val="right" w:leader="dot"/>
            </w:tabs>
            <w:ind w:left="260"/>
          </w:pPr>
          <w:hyperlink w:history="true" w:anchor="_bookmark14">
            <w:r>
              <w:rPr/>
              <w:t>Weighted</w:t>
            </w:r>
            <w:r>
              <w:rPr>
                <w:spacing w:val="-2"/>
              </w:rPr>
              <w:t> </w:t>
            </w:r>
            <w:r>
              <w:rPr/>
              <w:t>FTE</w:t>
            </w:r>
            <w:r>
              <w:rPr>
                <w:spacing w:val="-1"/>
              </w:rPr>
              <w:t> </w:t>
            </w:r>
            <w:r>
              <w:rPr/>
              <w:t>Enrollment</w:t>
              <w:tab/>
              <w:t>8</w:t>
            </w:r>
          </w:hyperlink>
        </w:p>
        <w:p>
          <w:pPr>
            <w:pStyle w:val="TOC1"/>
            <w:tabs>
              <w:tab w:pos="8901" w:val="right" w:leader="dot"/>
            </w:tabs>
            <w:ind w:left="259"/>
          </w:pPr>
          <w:hyperlink w:history="true" w:anchor="_bookmark16">
            <w:r>
              <w:rPr/>
              <w:t>State Foundation (General</w:t>
            </w:r>
            <w:r>
              <w:rPr>
                <w:spacing w:val="-3"/>
              </w:rPr>
              <w:t> </w:t>
            </w:r>
            <w:r>
              <w:rPr/>
              <w:t>State) Aid</w:t>
              <w:tab/>
              <w:t>11</w:t>
            </w:r>
          </w:hyperlink>
        </w:p>
        <w:p>
          <w:pPr>
            <w:pStyle w:val="TOC2"/>
            <w:tabs>
              <w:tab w:pos="8898" w:val="right" w:leader="dot"/>
            </w:tabs>
            <w:spacing w:before="120"/>
          </w:pPr>
          <w:hyperlink w:history="true" w:anchor="_bookmark17">
            <w:r>
              <w:rPr/>
              <w:t>Special</w:t>
            </w:r>
            <w:r>
              <w:rPr>
                <w:spacing w:val="-1"/>
              </w:rPr>
              <w:t> </w:t>
            </w:r>
            <w:r>
              <w:rPr/>
              <w:t>Education</w:t>
              <w:tab/>
              <w:t>11</w:t>
            </w:r>
          </w:hyperlink>
        </w:p>
        <w:p>
          <w:pPr>
            <w:pStyle w:val="TOC2"/>
            <w:tabs>
              <w:tab w:pos="8898" w:val="right" w:leader="dot"/>
            </w:tabs>
          </w:pPr>
          <w:hyperlink w:history="true" w:anchor="_bookmark18">
            <w:r>
              <w:rPr/>
              <w:t>ARRA Stabilization &amp; Ed</w:t>
            </w:r>
            <w:r>
              <w:rPr>
                <w:spacing w:val="2"/>
              </w:rPr>
              <w:t> </w:t>
            </w:r>
            <w:r>
              <w:rPr/>
              <w:t>Job</w:t>
            </w:r>
            <w:r>
              <w:rPr>
                <w:spacing w:val="1"/>
              </w:rPr>
              <w:t> </w:t>
            </w:r>
            <w:r>
              <w:rPr/>
              <w:t>Funds</w:t>
              <w:tab/>
              <w:t>11</w:t>
            </w:r>
          </w:hyperlink>
        </w:p>
        <w:p>
          <w:pPr>
            <w:pStyle w:val="TOC2"/>
            <w:tabs>
              <w:tab w:pos="8898" w:val="right" w:leader="dot"/>
            </w:tabs>
            <w:spacing w:before="121"/>
          </w:pPr>
          <w:hyperlink w:history="true" w:anchor="_bookmark19">
            <w:r>
              <w:rPr/>
              <w:t>General Fund Aid</w:t>
            </w:r>
            <w:r>
              <w:rPr>
                <w:spacing w:val="1"/>
              </w:rPr>
              <w:t> </w:t>
            </w:r>
            <w:r>
              <w:rPr/>
              <w:t>Total</w:t>
              <w:tab/>
              <w:t>11</w:t>
            </w:r>
          </w:hyperlink>
        </w:p>
        <w:p>
          <w:pPr>
            <w:pStyle w:val="TOC2"/>
            <w:tabs>
              <w:tab w:pos="8898" w:val="right" w:leader="dot"/>
            </w:tabs>
          </w:pPr>
          <w:hyperlink w:history="true" w:anchor="_bookmark20">
            <w:r>
              <w:rPr/>
              <w:t>General</w:t>
            </w:r>
            <w:r>
              <w:rPr>
                <w:spacing w:val="-1"/>
              </w:rPr>
              <w:t> </w:t>
            </w:r>
            <w:r>
              <w:rPr/>
              <w:t>Fund</w:t>
            </w:r>
            <w:r>
              <w:rPr>
                <w:spacing w:val="1"/>
              </w:rPr>
              <w:t> </w:t>
            </w:r>
            <w:r>
              <w:rPr/>
              <w:t>Budget</w:t>
              <w:tab/>
              <w:t>12</w:t>
            </w:r>
          </w:hyperlink>
        </w:p>
        <w:p>
          <w:pPr>
            <w:pStyle w:val="TOC3"/>
            <w:tabs>
              <w:tab w:pos="8899" w:val="right" w:leader="dot"/>
            </w:tabs>
            <w:rPr>
              <w:b w:val="0"/>
            </w:rPr>
          </w:pPr>
          <w:hyperlink w:history="true" w:anchor="_bookmark21">
            <w:r>
              <w:rPr>
                <w:b w:val="0"/>
              </w:rPr>
              <w:t>BASE by</w:t>
            </w:r>
            <w:r>
              <w:rPr>
                <w:b w:val="0"/>
                <w:spacing w:val="-7"/>
              </w:rPr>
              <w:t> </w:t>
            </w:r>
            <w:r>
              <w:rPr>
                <w:b w:val="0"/>
              </w:rPr>
              <w:t>the</w:t>
            </w:r>
            <w:r>
              <w:rPr>
                <w:b w:val="0"/>
                <w:spacing w:val="-2"/>
              </w:rPr>
              <w:t> </w:t>
            </w:r>
            <w:r>
              <w:rPr>
                <w:b w:val="0"/>
              </w:rPr>
              <w:t>Year</w:t>
              <w:tab/>
              <w:t>12</w:t>
            </w:r>
          </w:hyperlink>
        </w:p>
        <w:p>
          <w:pPr>
            <w:pStyle w:val="TOC2"/>
            <w:tabs>
              <w:tab w:pos="8898" w:val="right" w:leader="dot"/>
            </w:tabs>
            <w:spacing w:before="120"/>
          </w:pPr>
          <w:hyperlink w:history="true" w:anchor="_bookmark22">
            <w:r>
              <w:rPr/>
              <w:t>% of Total Aid to General</w:t>
            </w:r>
            <w:r>
              <w:rPr>
                <w:spacing w:val="2"/>
              </w:rPr>
              <w:t> </w:t>
            </w:r>
            <w:r>
              <w:rPr/>
              <w:t>Fund</w:t>
            </w:r>
            <w:r>
              <w:rPr>
                <w:spacing w:val="1"/>
              </w:rPr>
              <w:t> </w:t>
            </w:r>
            <w:r>
              <w:rPr/>
              <w:t>Budget</w:t>
              <w:tab/>
              <w:t>12</w:t>
            </w:r>
          </w:hyperlink>
        </w:p>
        <w:p>
          <w:pPr>
            <w:pStyle w:val="TOC1"/>
            <w:tabs>
              <w:tab w:pos="8902" w:val="right" w:leader="dot"/>
            </w:tabs>
            <w:spacing w:before="119"/>
            <w:ind w:left="260"/>
          </w:pPr>
          <w:hyperlink w:history="true" w:anchor="_bookmark23">
            <w:r>
              <w:rPr/>
              <w:t>Supplemental General</w:t>
            </w:r>
            <w:r>
              <w:rPr>
                <w:spacing w:val="-4"/>
              </w:rPr>
              <w:t> </w:t>
            </w:r>
            <w:r>
              <w:rPr/>
              <w:t>State</w:t>
            </w:r>
            <w:r>
              <w:rPr>
                <w:spacing w:val="-1"/>
              </w:rPr>
              <w:t> </w:t>
            </w:r>
            <w:r>
              <w:rPr/>
              <w:t>Aid</w:t>
              <w:tab/>
              <w:t>12</w:t>
            </w:r>
          </w:hyperlink>
        </w:p>
        <w:p>
          <w:pPr>
            <w:pStyle w:val="TOC2"/>
            <w:tabs>
              <w:tab w:pos="8898" w:val="right" w:leader="dot"/>
            </w:tabs>
            <w:spacing w:before="120"/>
          </w:pPr>
          <w:hyperlink w:history="true" w:anchor="_bookmark24">
            <w:r>
              <w:rPr/>
              <w:t>ARRA Stabilization (LOB)</w:t>
              <w:tab/>
              <w:t>12</w:t>
            </w:r>
          </w:hyperlink>
        </w:p>
        <w:p>
          <w:pPr>
            <w:pStyle w:val="TOC2"/>
            <w:tabs>
              <w:tab w:pos="8898" w:val="right" w:leader="dot"/>
            </w:tabs>
          </w:pPr>
          <w:hyperlink w:history="true" w:anchor="_bookmark25">
            <w:r>
              <w:rPr/>
              <w:t>Supplemental General</w:t>
            </w:r>
            <w:r>
              <w:rPr>
                <w:spacing w:val="-1"/>
              </w:rPr>
              <w:t> </w:t>
            </w:r>
            <w:r>
              <w:rPr/>
              <w:t>Fund</w:t>
            </w:r>
            <w:r>
              <w:rPr>
                <w:spacing w:val="1"/>
              </w:rPr>
              <w:t> </w:t>
            </w:r>
            <w:r>
              <w:rPr/>
              <w:t>Budget</w:t>
              <w:tab/>
              <w:t>13</w:t>
            </w:r>
          </w:hyperlink>
        </w:p>
        <w:p>
          <w:pPr>
            <w:pStyle w:val="TOC2"/>
            <w:tabs>
              <w:tab w:pos="8898" w:val="right" w:leader="dot"/>
            </w:tabs>
            <w:spacing w:before="121"/>
          </w:pPr>
          <w:hyperlink w:history="true" w:anchor="_bookmark26">
            <w:r>
              <w:rPr/>
              <w:t>% of Supplemental General State Aid to Supplemental</w:t>
            </w:r>
            <w:r>
              <w:rPr>
                <w:spacing w:val="-5"/>
              </w:rPr>
              <w:t> </w:t>
            </w:r>
            <w:r>
              <w:rPr/>
              <w:t>General</w:t>
            </w:r>
            <w:r>
              <w:rPr>
                <w:spacing w:val="-1"/>
              </w:rPr>
              <w:t> </w:t>
            </w:r>
            <w:r>
              <w:rPr/>
              <w:t>Budget</w:t>
              <w:tab/>
              <w:t>13</w:t>
            </w:r>
          </w:hyperlink>
        </w:p>
      </w:sdtContent>
    </w:sdt>
    <w:p>
      <w:pPr>
        <w:spacing w:after="0"/>
        <w:sectPr>
          <w:headerReference w:type="default" r:id="rId11"/>
          <w:footerReference w:type="default" r:id="rId12"/>
          <w:pgSz w:w="12240" w:h="15840"/>
          <w:pgMar w:header="1586" w:footer="1068" w:top="2060" w:bottom="1260" w:left="1180" w:right="1160"/>
          <w:pgNumType w:start="4"/>
        </w:sectPr>
      </w:pPr>
    </w:p>
    <w:p>
      <w:pPr>
        <w:pStyle w:val="Heading1"/>
        <w:spacing w:before="120"/>
      </w:pPr>
      <w:bookmarkStart w:name="Introduction" w:id="7"/>
      <w:bookmarkEnd w:id="7"/>
      <w:r>
        <w:rPr>
          <w:b w:val="0"/>
        </w:rPr>
      </w:r>
      <w:bookmarkStart w:name="_bookmark3" w:id="8"/>
      <w:bookmarkEnd w:id="8"/>
      <w:r>
        <w:rPr>
          <w:b w:val="0"/>
        </w:rPr>
      </w:r>
      <w:r>
        <w:rPr>
          <w:color w:val="12284B"/>
        </w:rPr>
        <w:t>Introduction</w:t>
      </w:r>
    </w:p>
    <w:p>
      <w:pPr>
        <w:pStyle w:val="BodyText"/>
        <w:spacing w:before="479"/>
        <w:ind w:left="260"/>
        <w:rPr>
          <w:b w:val="0"/>
        </w:rPr>
      </w:pPr>
      <w:r>
        <w:rPr>
          <w:b w:val="0"/>
        </w:rPr>
        <w:t>Craig Neuenswander</w:t>
      </w:r>
    </w:p>
    <w:p>
      <w:pPr>
        <w:spacing w:before="120"/>
        <w:ind w:left="260" w:right="0" w:firstLine="0"/>
        <w:jc w:val="left"/>
        <w:rPr>
          <w:b w:val="0"/>
          <w:sz w:val="16"/>
        </w:rPr>
      </w:pPr>
      <w:r>
        <w:rPr>
          <w:b w:val="0"/>
          <w:sz w:val="16"/>
        </w:rPr>
        <w:t>Deputy Commissioner</w:t>
      </w:r>
    </w:p>
    <w:p>
      <w:pPr>
        <w:spacing w:before="0"/>
        <w:ind w:left="259" w:right="34" w:firstLine="0"/>
        <w:jc w:val="left"/>
        <w:rPr>
          <w:b w:val="0"/>
          <w:sz w:val="16"/>
        </w:rPr>
      </w:pPr>
      <w:r>
        <w:rPr>
          <w:b w:val="0"/>
          <w:sz w:val="16"/>
        </w:rPr>
        <w:t>Division of Fiscal &amp; Administrative Services Kansas State Department of Education </w:t>
      </w:r>
      <w:hyperlink r:id="rId13">
        <w:r>
          <w:rPr>
            <w:b w:val="0"/>
            <w:color w:val="12284B"/>
            <w:sz w:val="16"/>
            <w:u w:val="single" w:color="12284B"/>
          </w:rPr>
          <w:t>craign@ksde.org</w:t>
        </w:r>
      </w:hyperlink>
    </w:p>
    <w:p>
      <w:pPr>
        <w:pStyle w:val="BodyText"/>
        <w:spacing w:before="8"/>
        <w:rPr>
          <w:b w:val="0"/>
          <w:sz w:val="17"/>
        </w:rPr>
      </w:pPr>
    </w:p>
    <w:p>
      <w:pPr>
        <w:pStyle w:val="BodyText"/>
        <w:spacing w:before="1"/>
        <w:ind w:left="260"/>
        <w:rPr>
          <w:b w:val="0"/>
        </w:rPr>
      </w:pPr>
      <w:r>
        <w:rPr>
          <w:b w:val="0"/>
        </w:rPr>
        <w:t>Dale Brungardt</w:t>
      </w:r>
    </w:p>
    <w:p>
      <w:pPr>
        <w:spacing w:before="119"/>
        <w:ind w:left="260" w:right="0" w:firstLine="0"/>
        <w:jc w:val="left"/>
        <w:rPr>
          <w:b w:val="0"/>
          <w:sz w:val="16"/>
        </w:rPr>
      </w:pPr>
      <w:r>
        <w:rPr>
          <w:b w:val="0"/>
          <w:sz w:val="16"/>
        </w:rPr>
        <w:t>Director of School Finance</w:t>
      </w:r>
    </w:p>
    <w:p>
      <w:pPr>
        <w:spacing w:before="1"/>
        <w:ind w:left="259" w:right="34" w:firstLine="0"/>
        <w:jc w:val="left"/>
        <w:rPr>
          <w:b w:val="0"/>
          <w:sz w:val="16"/>
        </w:rPr>
      </w:pPr>
      <w:r>
        <w:rPr>
          <w:b w:val="0"/>
          <w:sz w:val="16"/>
        </w:rPr>
        <w:t>Division of Fiscal &amp; Administrative Services Kansas State Department of Education </w:t>
      </w:r>
      <w:hyperlink r:id="rId14">
        <w:r>
          <w:rPr>
            <w:b w:val="0"/>
            <w:color w:val="12284B"/>
            <w:sz w:val="16"/>
            <w:u w:val="single" w:color="12284B"/>
          </w:rPr>
          <w:t>dbrungardt@ksde.org</w:t>
        </w:r>
      </w:hyperlink>
    </w:p>
    <w:p>
      <w:pPr>
        <w:pStyle w:val="BodyText"/>
        <w:rPr>
          <w:b w:val="0"/>
          <w:sz w:val="30"/>
        </w:rPr>
      </w:pPr>
      <w:r>
        <w:rPr/>
        <w:br w:type="column"/>
      </w:r>
      <w:r>
        <w:rPr>
          <w:b w:val="0"/>
          <w:sz w:val="30"/>
        </w:rPr>
      </w:r>
    </w:p>
    <w:p>
      <w:pPr>
        <w:pStyle w:val="BodyText"/>
        <w:rPr>
          <w:b w:val="0"/>
          <w:sz w:val="30"/>
        </w:rPr>
      </w:pPr>
    </w:p>
    <w:p>
      <w:pPr>
        <w:pStyle w:val="BodyText"/>
        <w:spacing w:before="2"/>
        <w:rPr>
          <w:b w:val="0"/>
          <w:sz w:val="23"/>
        </w:rPr>
      </w:pPr>
    </w:p>
    <w:p>
      <w:pPr>
        <w:pStyle w:val="BodyText"/>
        <w:spacing w:line="360" w:lineRule="auto"/>
        <w:ind w:left="259" w:right="340" w:firstLine="720"/>
        <w:rPr>
          <w:b w:val="0"/>
        </w:rPr>
      </w:pPr>
      <w:r>
        <w:rPr>
          <w:b w:val="0"/>
        </w:rPr>
        <w:t>This publication has been prepared by the School Finance team of the Kansas State Department of Education to provide selected data related to State Foundation (General State) Aid and Supplemental General State Aid program for each of the unified school districts in Kansas.</w:t>
      </w:r>
    </w:p>
    <w:p>
      <w:pPr>
        <w:pStyle w:val="BodyText"/>
        <w:spacing w:line="360" w:lineRule="auto" w:before="122"/>
        <w:ind w:left="260" w:right="397" w:firstLine="720"/>
        <w:rPr>
          <w:b w:val="0"/>
        </w:rPr>
      </w:pPr>
      <w:r>
        <w:rPr>
          <w:b w:val="0"/>
        </w:rPr>
        <w:t>This publication will provide the type of information that unified school districts can use to for analyzing their budget and tax structure. The data is compiled from various reports furnished to this department and every effort has been made to ensure its accuracy.</w:t>
      </w:r>
    </w:p>
    <w:p>
      <w:pPr>
        <w:spacing w:after="0" w:line="360" w:lineRule="auto"/>
        <w:sectPr>
          <w:pgSz w:w="12240" w:h="15840"/>
          <w:pgMar w:header="1586" w:footer="1068" w:top="2060" w:bottom="1340" w:left="1180" w:right="1160"/>
          <w:cols w:num="2" w:equalWidth="0">
            <w:col w:w="3333" w:space="123"/>
            <w:col w:w="6444"/>
          </w:cols>
        </w:sectPr>
      </w:pPr>
    </w:p>
    <w:p>
      <w:pPr>
        <w:pStyle w:val="BodyText"/>
        <w:spacing w:before="2"/>
        <w:rPr>
          <w:b w:val="0"/>
          <w:sz w:val="19"/>
        </w:rPr>
      </w:pPr>
    </w:p>
    <w:p>
      <w:pPr>
        <w:pStyle w:val="Heading1"/>
      </w:pPr>
      <w:bookmarkStart w:name="Glossary" w:id="9"/>
      <w:bookmarkEnd w:id="9"/>
      <w:r>
        <w:rPr>
          <w:b w:val="0"/>
        </w:rPr>
      </w:r>
      <w:bookmarkStart w:name="_bookmark4" w:id="10"/>
      <w:bookmarkEnd w:id="10"/>
      <w:r>
        <w:rPr>
          <w:b w:val="0"/>
        </w:rPr>
      </w:r>
      <w:r>
        <w:rPr>
          <w:color w:val="12284B"/>
        </w:rPr>
        <w:t>Glossary</w:t>
      </w:r>
    </w:p>
    <w:p>
      <w:pPr>
        <w:pStyle w:val="BodyText"/>
        <w:spacing w:before="5"/>
        <w:rPr>
          <w:rFonts w:ascii="Open Sans"/>
          <w:b/>
          <w:sz w:val="26"/>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1"/>
        <w:gridCol w:w="6799"/>
      </w:tblGrid>
      <w:tr>
        <w:trPr>
          <w:trHeight w:val="532" w:hRule="atLeast"/>
        </w:trPr>
        <w:tc>
          <w:tcPr>
            <w:tcW w:w="2501" w:type="dxa"/>
            <w:shd w:val="clear" w:color="auto" w:fill="FFA300"/>
          </w:tcPr>
          <w:p>
            <w:pPr>
              <w:pStyle w:val="TableParagraph"/>
              <w:spacing w:before="163"/>
              <w:ind w:left="43"/>
              <w:rPr>
                <w:rFonts w:ascii="Open Sans Semibold"/>
                <w:b/>
                <w:sz w:val="24"/>
              </w:rPr>
            </w:pPr>
            <w:r>
              <w:rPr>
                <w:rFonts w:ascii="Open Sans Semibold"/>
                <w:b/>
                <w:color w:val="12284B"/>
                <w:sz w:val="24"/>
              </w:rPr>
              <w:t>Term</w:t>
            </w:r>
          </w:p>
        </w:tc>
        <w:tc>
          <w:tcPr>
            <w:tcW w:w="6799" w:type="dxa"/>
            <w:shd w:val="clear" w:color="auto" w:fill="FFA300"/>
          </w:tcPr>
          <w:p>
            <w:pPr>
              <w:pStyle w:val="TableParagraph"/>
              <w:spacing w:before="163"/>
              <w:ind w:left="165"/>
              <w:rPr>
                <w:rFonts w:ascii="Open Sans Semibold"/>
                <w:b/>
                <w:sz w:val="24"/>
              </w:rPr>
            </w:pPr>
            <w:r>
              <w:rPr>
                <w:rFonts w:ascii="Open Sans Semibold"/>
                <w:b/>
                <w:color w:val="12284B"/>
                <w:sz w:val="24"/>
              </w:rPr>
              <w:t>Meaning</w:t>
            </w:r>
          </w:p>
        </w:tc>
      </w:tr>
      <w:tr>
        <w:trPr>
          <w:trHeight w:val="686" w:hRule="atLeast"/>
        </w:trPr>
        <w:tc>
          <w:tcPr>
            <w:tcW w:w="2501" w:type="dxa"/>
          </w:tcPr>
          <w:p>
            <w:pPr>
              <w:pStyle w:val="TableParagraph"/>
              <w:spacing w:before="180"/>
              <w:ind w:left="43"/>
              <w:rPr>
                <w:rFonts w:ascii="Open Sans"/>
                <w:sz w:val="24"/>
              </w:rPr>
            </w:pPr>
            <w:bookmarkStart w:name="_bookmark5" w:id="11"/>
            <w:bookmarkEnd w:id="11"/>
            <w:r>
              <w:rPr/>
            </w:r>
            <w:r>
              <w:rPr>
                <w:rFonts w:ascii="Open Sans"/>
                <w:color w:val="00B795"/>
                <w:sz w:val="24"/>
              </w:rPr>
              <w:t>BASE</w:t>
            </w:r>
          </w:p>
        </w:tc>
        <w:tc>
          <w:tcPr>
            <w:tcW w:w="6799" w:type="dxa"/>
          </w:tcPr>
          <w:p>
            <w:pPr>
              <w:pStyle w:val="TableParagraph"/>
              <w:spacing w:before="43"/>
              <w:ind w:left="165" w:right="100"/>
              <w:rPr>
                <w:b w:val="0"/>
                <w:sz w:val="22"/>
              </w:rPr>
            </w:pPr>
            <w:r>
              <w:rPr>
                <w:b w:val="0"/>
                <w:sz w:val="22"/>
              </w:rPr>
              <w:t>Base State Aid per Pupil (BSAPP, through 2016-17), or Base Aid for Student Excellence (BASE, 2017-18 to present).</w:t>
            </w:r>
          </w:p>
        </w:tc>
      </w:tr>
      <w:tr>
        <w:trPr>
          <w:trHeight w:val="2656" w:hRule="atLeast"/>
        </w:trPr>
        <w:tc>
          <w:tcPr>
            <w:tcW w:w="2501" w:type="dxa"/>
            <w:shd w:val="clear" w:color="auto" w:fill="D9D9D9"/>
          </w:tcPr>
          <w:p>
            <w:pPr>
              <w:pStyle w:val="TableParagraph"/>
              <w:rPr>
                <w:rFonts w:ascii="Open Sans"/>
                <w:b/>
                <w:sz w:val="32"/>
              </w:rPr>
            </w:pPr>
          </w:p>
          <w:p>
            <w:pPr>
              <w:pStyle w:val="TableParagraph"/>
              <w:spacing w:before="7"/>
              <w:rPr>
                <w:rFonts w:ascii="Open Sans"/>
                <w:b/>
                <w:sz w:val="29"/>
              </w:rPr>
            </w:pPr>
          </w:p>
          <w:p>
            <w:pPr>
              <w:pStyle w:val="TableParagraph"/>
              <w:ind w:left="43" w:right="144"/>
              <w:rPr>
                <w:rFonts w:ascii="Open Sans"/>
                <w:sz w:val="24"/>
              </w:rPr>
            </w:pPr>
            <w:bookmarkStart w:name="_bookmark6" w:id="12"/>
            <w:bookmarkEnd w:id="12"/>
            <w:r>
              <w:rPr/>
            </w:r>
            <w:r>
              <w:rPr>
                <w:rFonts w:ascii="Open Sans"/>
                <w:color w:val="00B795"/>
                <w:sz w:val="24"/>
              </w:rPr>
              <w:t>FTE Enrollment used for Funding current year</w:t>
            </w:r>
          </w:p>
        </w:tc>
        <w:tc>
          <w:tcPr>
            <w:tcW w:w="6799" w:type="dxa"/>
            <w:shd w:val="clear" w:color="auto" w:fill="D9D9D9"/>
          </w:tcPr>
          <w:p>
            <w:pPr>
              <w:pStyle w:val="TableParagraph"/>
              <w:spacing w:before="41"/>
              <w:ind w:left="165" w:right="24"/>
              <w:rPr>
                <w:b w:val="0"/>
                <w:sz w:val="22"/>
              </w:rPr>
            </w:pPr>
            <w:r>
              <w:rPr>
                <w:b w:val="0"/>
                <w:sz w:val="22"/>
              </w:rPr>
              <w:t>This is the enrollment that will be used for funding the current year (not including the weighted FTE) and will be the higher of the two preceding years FTE Enrollment (excluding Preschool-Aged At- Risk). If district is eligible to use the 3-Year-Average, then it will be the higher of the two preceding years or the average of the 3 preceding years.</w:t>
            </w:r>
          </w:p>
          <w:p>
            <w:pPr>
              <w:pStyle w:val="TableParagraph"/>
              <w:spacing w:before="119"/>
              <w:ind w:left="165" w:right="219"/>
              <w:jc w:val="both"/>
              <w:rPr>
                <w:b w:val="0"/>
                <w:i/>
                <w:sz w:val="16"/>
              </w:rPr>
            </w:pPr>
            <w:r>
              <w:rPr>
                <w:b w:val="0"/>
                <w:i/>
                <w:sz w:val="16"/>
                <w:u w:val="single"/>
              </w:rPr>
              <w:t>Note</w:t>
            </w:r>
            <w:r>
              <w:rPr>
                <w:b w:val="0"/>
                <w:i/>
                <w:sz w:val="16"/>
              </w:rPr>
              <w:t>: To be eligible to use the 3-Year Average must meet the following criteria: received Federal </w:t>
            </w:r>
            <w:r>
              <w:rPr>
                <w:b w:val="0"/>
                <w:i/>
                <w:sz w:val="16"/>
              </w:rPr>
              <w:t>Impact Aid during the prior year, had military dependent student(s) enrolled during the prior year and declined in enrollment from two years prior to the prior year.</w:t>
            </w:r>
          </w:p>
        </w:tc>
      </w:tr>
      <w:tr>
        <w:trPr>
          <w:trHeight w:val="1024" w:hRule="atLeast"/>
        </w:trPr>
        <w:tc>
          <w:tcPr>
            <w:tcW w:w="2501" w:type="dxa"/>
          </w:tcPr>
          <w:p>
            <w:pPr>
              <w:pStyle w:val="TableParagraph"/>
              <w:spacing w:before="185"/>
              <w:ind w:left="43" w:right="855"/>
              <w:rPr>
                <w:rFonts w:ascii="Open Sans"/>
                <w:sz w:val="24"/>
              </w:rPr>
            </w:pPr>
            <w:bookmarkStart w:name="_bookmark7" w:id="13"/>
            <w:bookmarkEnd w:id="13"/>
            <w:r>
              <w:rPr/>
            </w:r>
            <w:r>
              <w:rPr>
                <w:rFonts w:ascii="Open Sans"/>
                <w:color w:val="00B795"/>
                <w:sz w:val="24"/>
              </w:rPr>
              <w:t>Adjusted (FTE) Enrollment</w:t>
            </w:r>
          </w:p>
        </w:tc>
        <w:tc>
          <w:tcPr>
            <w:tcW w:w="6799" w:type="dxa"/>
          </w:tcPr>
          <w:p>
            <w:pPr>
              <w:pStyle w:val="TableParagraph"/>
              <w:spacing w:before="42"/>
              <w:ind w:left="165" w:right="310"/>
              <w:rPr>
                <w:b w:val="0"/>
                <w:sz w:val="23"/>
              </w:rPr>
            </w:pPr>
            <w:r>
              <w:rPr>
                <w:b w:val="0"/>
                <w:sz w:val="22"/>
              </w:rPr>
              <w:t>Per </w:t>
            </w:r>
            <w:hyperlink r:id="rId17">
              <w:r>
                <w:rPr>
                  <w:b w:val="0"/>
                  <w:color w:val="12284B"/>
                  <w:sz w:val="22"/>
                  <w:u w:val="single" w:color="12284B"/>
                </w:rPr>
                <w:t>KSA 72-5132(a)</w:t>
              </w:r>
              <w:r>
                <w:rPr>
                  <w:b w:val="0"/>
                  <w:sz w:val="22"/>
                </w:rPr>
                <w:t>, </w:t>
              </w:r>
            </w:hyperlink>
            <w:r>
              <w:rPr>
                <w:b w:val="0"/>
                <w:sz w:val="23"/>
              </w:rPr>
              <w:t>the enrollment of a school district </w:t>
            </w:r>
            <w:hyperlink w:history="true" w:anchor="_bookmark6">
              <w:r>
                <w:rPr>
                  <w:b w:val="0"/>
                  <w:sz w:val="23"/>
                </w:rPr>
                <w:t>(</w:t>
              </w:r>
              <w:r>
                <w:rPr>
                  <w:b w:val="0"/>
                  <w:color w:val="12284B"/>
                  <w:sz w:val="23"/>
                  <w:u w:val="single" w:color="12284B"/>
                </w:rPr>
                <w:t>FTE</w:t>
              </w:r>
            </w:hyperlink>
            <w:r>
              <w:rPr>
                <w:b w:val="0"/>
                <w:color w:val="12284B"/>
                <w:sz w:val="23"/>
              </w:rPr>
              <w:t> </w:t>
            </w:r>
            <w:hyperlink w:history="true" w:anchor="_bookmark6">
              <w:r>
                <w:rPr>
                  <w:b w:val="0"/>
                  <w:color w:val="12284B"/>
                  <w:sz w:val="23"/>
                  <w:u w:val="single" w:color="12284B"/>
                </w:rPr>
                <w:t>Enrollment used for funding current year</w:t>
              </w:r>
            </w:hyperlink>
            <w:r>
              <w:rPr>
                <w:b w:val="0"/>
                <w:sz w:val="23"/>
              </w:rPr>
              <w:t>) adjusted by adding the </w:t>
            </w:r>
            <w:hyperlink w:history="true" w:anchor="_bookmark13">
              <w:r>
                <w:rPr>
                  <w:b w:val="0"/>
                  <w:color w:val="12284B"/>
                  <w:sz w:val="23"/>
                  <w:u w:val="single" w:color="12284B"/>
                </w:rPr>
                <w:t>weightings</w:t>
              </w:r>
              <w:r>
                <w:rPr>
                  <w:b w:val="0"/>
                  <w:sz w:val="23"/>
                </w:rPr>
                <w:t>, </w:t>
              </w:r>
            </w:hyperlink>
            <w:r>
              <w:rPr>
                <w:b w:val="0"/>
                <w:sz w:val="23"/>
              </w:rPr>
              <w:t>if any.</w:t>
            </w:r>
          </w:p>
        </w:tc>
      </w:tr>
      <w:tr>
        <w:trPr>
          <w:trHeight w:val="1884" w:hRule="atLeast"/>
        </w:trPr>
        <w:tc>
          <w:tcPr>
            <w:tcW w:w="2501" w:type="dxa"/>
            <w:shd w:val="clear" w:color="auto" w:fill="D9D9D9"/>
          </w:tcPr>
          <w:p>
            <w:pPr>
              <w:pStyle w:val="TableParagraph"/>
              <w:rPr>
                <w:rFonts w:ascii="Open Sans"/>
                <w:b/>
                <w:sz w:val="32"/>
              </w:rPr>
            </w:pPr>
          </w:p>
          <w:p>
            <w:pPr>
              <w:pStyle w:val="TableParagraph"/>
              <w:spacing w:before="4"/>
              <w:rPr>
                <w:rFonts w:ascii="Open Sans"/>
                <w:b/>
                <w:sz w:val="25"/>
              </w:rPr>
            </w:pPr>
          </w:p>
          <w:p>
            <w:pPr>
              <w:pStyle w:val="TableParagraph"/>
              <w:ind w:left="43"/>
              <w:rPr>
                <w:rFonts w:ascii="Open Sans"/>
                <w:sz w:val="24"/>
              </w:rPr>
            </w:pPr>
            <w:bookmarkStart w:name="_bookmark8" w:id="14"/>
            <w:bookmarkEnd w:id="14"/>
            <w:r>
              <w:rPr/>
            </w:r>
            <w:r>
              <w:rPr>
                <w:rFonts w:ascii="Open Sans"/>
                <w:color w:val="00B795"/>
                <w:sz w:val="24"/>
              </w:rPr>
              <w:t>Virtual State Aid</w:t>
            </w:r>
          </w:p>
        </w:tc>
        <w:tc>
          <w:tcPr>
            <w:tcW w:w="6799" w:type="dxa"/>
            <w:shd w:val="clear" w:color="auto" w:fill="D9D9D9"/>
          </w:tcPr>
          <w:p>
            <w:pPr>
              <w:pStyle w:val="TableParagraph"/>
              <w:spacing w:line="298" w:lineRule="exact" w:before="43"/>
              <w:ind w:left="165"/>
              <w:rPr>
                <w:b w:val="0"/>
                <w:sz w:val="22"/>
              </w:rPr>
            </w:pPr>
            <w:r>
              <w:rPr>
                <w:b w:val="0"/>
                <w:sz w:val="22"/>
              </w:rPr>
              <w:t>Funded per </w:t>
            </w:r>
            <w:hyperlink r:id="rId18">
              <w:r>
                <w:rPr>
                  <w:b w:val="0"/>
                  <w:color w:val="12284B"/>
                  <w:sz w:val="22"/>
                  <w:u w:val="single" w:color="12284B"/>
                </w:rPr>
                <w:t>KSA 72-3715</w:t>
              </w:r>
              <w:r>
                <w:rPr>
                  <w:b w:val="0"/>
                  <w:sz w:val="22"/>
                </w:rPr>
                <w:t>:</w:t>
              </w:r>
            </w:hyperlink>
          </w:p>
          <w:p>
            <w:pPr>
              <w:pStyle w:val="TableParagraph"/>
              <w:numPr>
                <w:ilvl w:val="0"/>
                <w:numId w:val="1"/>
              </w:numPr>
              <w:tabs>
                <w:tab w:pos="360" w:val="left" w:leader="none"/>
                <w:tab w:pos="361" w:val="left" w:leader="none"/>
              </w:tabs>
              <w:spacing w:line="302" w:lineRule="exact" w:before="0" w:after="0"/>
              <w:ind w:left="719" w:right="1476" w:hanging="720"/>
              <w:jc w:val="right"/>
              <w:rPr>
                <w:b w:val="0"/>
                <w:sz w:val="22"/>
              </w:rPr>
            </w:pPr>
            <w:r>
              <w:rPr>
                <w:b w:val="0"/>
                <w:sz w:val="22"/>
              </w:rPr>
              <w:t>Students 19 years &amp; under on September</w:t>
            </w:r>
            <w:r>
              <w:rPr>
                <w:b w:val="0"/>
                <w:spacing w:val="-20"/>
                <w:sz w:val="22"/>
              </w:rPr>
              <w:t> </w:t>
            </w:r>
            <w:r>
              <w:rPr>
                <w:b w:val="0"/>
                <w:sz w:val="22"/>
              </w:rPr>
              <w:t>20</w:t>
            </w:r>
            <w:r>
              <w:rPr>
                <w:b w:val="0"/>
                <w:position w:val="9"/>
                <w:sz w:val="14"/>
              </w:rPr>
              <w:t>th</w:t>
            </w:r>
            <w:r>
              <w:rPr>
                <w:b w:val="0"/>
                <w:sz w:val="22"/>
              </w:rPr>
              <w:t>:</w:t>
            </w:r>
          </w:p>
          <w:p>
            <w:pPr>
              <w:pStyle w:val="TableParagraph"/>
              <w:numPr>
                <w:ilvl w:val="1"/>
                <w:numId w:val="1"/>
              </w:numPr>
              <w:tabs>
                <w:tab w:pos="360" w:val="left" w:leader="none"/>
                <w:tab w:pos="361" w:val="left" w:leader="none"/>
              </w:tabs>
              <w:spacing w:line="299" w:lineRule="exact" w:before="0" w:after="0"/>
              <w:ind w:left="1171" w:right="1487" w:hanging="1172"/>
              <w:jc w:val="right"/>
              <w:rPr>
                <w:b w:val="0"/>
                <w:sz w:val="22"/>
              </w:rPr>
            </w:pPr>
            <w:r>
              <w:rPr>
                <w:b w:val="0"/>
                <w:sz w:val="22"/>
              </w:rPr>
              <w:t>Full-Time (360 + Minutes Enrolled):</w:t>
            </w:r>
            <w:r>
              <w:rPr>
                <w:b w:val="0"/>
                <w:spacing w:val="-17"/>
                <w:sz w:val="22"/>
              </w:rPr>
              <w:t> </w:t>
            </w:r>
            <w:r>
              <w:rPr>
                <w:b w:val="0"/>
                <w:sz w:val="22"/>
              </w:rPr>
              <w:t>$5,000</w:t>
            </w:r>
          </w:p>
          <w:p>
            <w:pPr>
              <w:pStyle w:val="TableParagraph"/>
              <w:numPr>
                <w:ilvl w:val="1"/>
                <w:numId w:val="1"/>
              </w:numPr>
              <w:tabs>
                <w:tab w:pos="1171" w:val="left" w:leader="none"/>
                <w:tab w:pos="1172" w:val="left" w:leader="none"/>
              </w:tabs>
              <w:spacing w:line="297" w:lineRule="exact" w:before="0" w:after="0"/>
              <w:ind w:left="1171" w:right="0" w:hanging="362"/>
              <w:jc w:val="left"/>
              <w:rPr>
                <w:b w:val="0"/>
                <w:sz w:val="22"/>
              </w:rPr>
            </w:pPr>
            <w:r>
              <w:rPr>
                <w:b w:val="0"/>
                <w:sz w:val="22"/>
              </w:rPr>
              <w:t>Part-Time (less than 360 minutes enrolled):</w:t>
            </w:r>
            <w:r>
              <w:rPr>
                <w:b w:val="0"/>
                <w:spacing w:val="-12"/>
                <w:sz w:val="22"/>
              </w:rPr>
              <w:t> </w:t>
            </w:r>
            <w:r>
              <w:rPr>
                <w:b w:val="0"/>
                <w:sz w:val="22"/>
              </w:rPr>
              <w:t>$1,700</w:t>
            </w:r>
          </w:p>
          <w:p>
            <w:pPr>
              <w:pStyle w:val="TableParagraph"/>
              <w:numPr>
                <w:ilvl w:val="0"/>
                <w:numId w:val="1"/>
              </w:numPr>
              <w:tabs>
                <w:tab w:pos="719" w:val="left" w:leader="none"/>
                <w:tab w:pos="720" w:val="left" w:leader="none"/>
              </w:tabs>
              <w:spacing w:line="240" w:lineRule="auto" w:before="0" w:after="0"/>
              <w:ind w:left="719" w:right="602" w:hanging="360"/>
              <w:jc w:val="left"/>
              <w:rPr>
                <w:b w:val="0"/>
                <w:sz w:val="22"/>
              </w:rPr>
            </w:pPr>
            <w:r>
              <w:rPr>
                <w:b w:val="0"/>
                <w:sz w:val="22"/>
              </w:rPr>
              <w:t>Students 20 years &amp; older on September 20</w:t>
            </w:r>
            <w:r>
              <w:rPr>
                <w:b w:val="0"/>
                <w:position w:val="9"/>
                <w:sz w:val="14"/>
              </w:rPr>
              <w:t>th</w:t>
            </w:r>
            <w:r>
              <w:rPr>
                <w:b w:val="0"/>
                <w:sz w:val="22"/>
              </w:rPr>
              <w:t>: $709 per credit (maximum of 6 credits per</w:t>
            </w:r>
            <w:r>
              <w:rPr>
                <w:b w:val="0"/>
                <w:spacing w:val="-8"/>
                <w:sz w:val="22"/>
              </w:rPr>
              <w:t> </w:t>
            </w:r>
            <w:r>
              <w:rPr>
                <w:b w:val="0"/>
                <w:sz w:val="22"/>
              </w:rPr>
              <w:t>student).</w:t>
            </w:r>
          </w:p>
        </w:tc>
      </w:tr>
      <w:tr>
        <w:trPr>
          <w:trHeight w:val="412" w:hRule="atLeast"/>
        </w:trPr>
        <w:tc>
          <w:tcPr>
            <w:tcW w:w="2501" w:type="dxa"/>
          </w:tcPr>
          <w:p>
            <w:pPr>
              <w:pStyle w:val="TableParagraph"/>
              <w:spacing w:before="43"/>
              <w:ind w:left="43"/>
              <w:rPr>
                <w:rFonts w:ascii="Open Sans"/>
                <w:sz w:val="24"/>
              </w:rPr>
            </w:pPr>
            <w:bookmarkStart w:name="_bookmark9" w:id="15"/>
            <w:bookmarkEnd w:id="15"/>
            <w:r>
              <w:rPr/>
            </w:r>
            <w:r>
              <w:rPr>
                <w:rFonts w:ascii="Open Sans"/>
                <w:color w:val="00B795"/>
                <w:sz w:val="24"/>
              </w:rPr>
              <w:t>ARRA</w:t>
            </w:r>
          </w:p>
        </w:tc>
        <w:tc>
          <w:tcPr>
            <w:tcW w:w="6799" w:type="dxa"/>
          </w:tcPr>
          <w:p>
            <w:pPr>
              <w:pStyle w:val="TableParagraph"/>
              <w:spacing w:before="55"/>
              <w:ind w:left="165"/>
              <w:rPr>
                <w:b w:val="0"/>
                <w:sz w:val="22"/>
              </w:rPr>
            </w:pPr>
            <w:hyperlink r:id="rId19">
              <w:r>
                <w:rPr>
                  <w:b w:val="0"/>
                  <w:color w:val="12284B"/>
                  <w:sz w:val="22"/>
                  <w:u w:val="single" w:color="12284B"/>
                </w:rPr>
                <w:t>American Recovery and Reinvestment Act of 2009</w:t>
              </w:r>
            </w:hyperlink>
          </w:p>
        </w:tc>
      </w:tr>
      <w:tr>
        <w:trPr>
          <w:trHeight w:val="412" w:hRule="atLeast"/>
        </w:trPr>
        <w:tc>
          <w:tcPr>
            <w:tcW w:w="2501" w:type="dxa"/>
            <w:shd w:val="clear" w:color="auto" w:fill="D9D9D9"/>
          </w:tcPr>
          <w:p>
            <w:pPr>
              <w:pStyle w:val="TableParagraph"/>
              <w:spacing w:before="43"/>
              <w:ind w:left="43"/>
              <w:rPr>
                <w:rFonts w:ascii="Open Sans"/>
                <w:sz w:val="24"/>
              </w:rPr>
            </w:pPr>
            <w:bookmarkStart w:name="_bookmark10" w:id="16"/>
            <w:bookmarkEnd w:id="16"/>
            <w:r>
              <w:rPr/>
            </w:r>
            <w:r>
              <w:rPr>
                <w:rFonts w:ascii="Open Sans"/>
                <w:color w:val="00B795"/>
                <w:sz w:val="24"/>
              </w:rPr>
              <w:t>SFSF</w:t>
            </w:r>
          </w:p>
        </w:tc>
        <w:tc>
          <w:tcPr>
            <w:tcW w:w="6799" w:type="dxa"/>
            <w:shd w:val="clear" w:color="auto" w:fill="D9D9D9"/>
          </w:tcPr>
          <w:p>
            <w:pPr>
              <w:pStyle w:val="TableParagraph"/>
              <w:spacing w:before="55"/>
              <w:ind w:left="165"/>
              <w:rPr>
                <w:b w:val="0"/>
                <w:sz w:val="22"/>
              </w:rPr>
            </w:pPr>
            <w:r>
              <w:rPr>
                <w:b w:val="0"/>
                <w:sz w:val="22"/>
              </w:rPr>
              <w:t>State Fiscal Stabilization Fund (part of </w:t>
            </w:r>
            <w:hyperlink w:history="true" w:anchor="_bookmark9">
              <w:r>
                <w:rPr>
                  <w:b w:val="0"/>
                  <w:color w:val="12284B"/>
                  <w:sz w:val="22"/>
                  <w:u w:val="single" w:color="12284B"/>
                </w:rPr>
                <w:t>ARRA</w:t>
              </w:r>
            </w:hyperlink>
            <w:r>
              <w:rPr>
                <w:b w:val="0"/>
                <w:sz w:val="22"/>
              </w:rPr>
              <w:t>)</w:t>
            </w:r>
          </w:p>
        </w:tc>
      </w:tr>
    </w:tbl>
    <w:p>
      <w:pPr>
        <w:spacing w:after="0"/>
        <w:rPr>
          <w:sz w:val="22"/>
        </w:rPr>
        <w:sectPr>
          <w:headerReference w:type="default" r:id="rId15"/>
          <w:footerReference w:type="default" r:id="rId16"/>
          <w:pgSz w:w="12240" w:h="15840"/>
          <w:pgMar w:header="1007" w:footer="1148" w:top="1220" w:bottom="1340" w:left="1180" w:right="1160"/>
          <w:pgNumType w:start="6"/>
        </w:sectPr>
      </w:pPr>
    </w:p>
    <w:p>
      <w:pPr>
        <w:pStyle w:val="BodyText"/>
        <w:spacing w:before="2"/>
        <w:rPr>
          <w:rFonts w:ascii="Open Sans"/>
          <w:b/>
          <w:sz w:val="19"/>
        </w:rPr>
      </w:pPr>
    </w:p>
    <w:p>
      <w:pPr>
        <w:pStyle w:val="Heading1"/>
      </w:pPr>
      <w:bookmarkStart w:name="_bookmark13" w:id="17"/>
      <w:bookmarkEnd w:id="17"/>
      <w:r>
        <w:rPr>
          <w:b w:val="0"/>
        </w:rPr>
      </w:r>
      <w:bookmarkStart w:name="FTE Enrollment" w:id="18"/>
      <w:bookmarkEnd w:id="18"/>
      <w:r>
        <w:rPr>
          <w:b w:val="0"/>
        </w:rPr>
      </w:r>
      <w:bookmarkStart w:name="_bookmark11" w:id="19"/>
      <w:bookmarkEnd w:id="19"/>
      <w:r>
        <w:rPr>
          <w:b w:val="0"/>
        </w:rPr>
      </w:r>
      <w:r>
        <w:rPr>
          <w:color w:val="12284B"/>
        </w:rPr>
        <w:t>FTE Enrollment</w:t>
      </w:r>
    </w:p>
    <w:p>
      <w:pPr>
        <w:pStyle w:val="BodyText"/>
        <w:spacing w:before="359"/>
        <w:ind w:left="259" w:right="1280"/>
        <w:rPr>
          <w:b w:val="0"/>
        </w:rPr>
      </w:pPr>
      <w:r>
        <w:rPr>
          <w:b w:val="0"/>
        </w:rPr>
        <w:t>The total enrollment for pre-school through grade 12 and non-graded students from September 20, and February 20 if applicable, count days (including virtual).</w:t>
      </w:r>
    </w:p>
    <w:p>
      <w:pPr>
        <w:pStyle w:val="ListParagraph"/>
        <w:numPr>
          <w:ilvl w:val="0"/>
          <w:numId w:val="2"/>
        </w:numPr>
        <w:tabs>
          <w:tab w:pos="979" w:val="left" w:leader="none"/>
          <w:tab w:pos="981" w:val="left" w:leader="none"/>
        </w:tabs>
        <w:spacing w:line="240" w:lineRule="auto" w:before="121" w:after="0"/>
        <w:ind w:left="980" w:right="477" w:hanging="361"/>
        <w:jc w:val="left"/>
        <w:rPr>
          <w:b w:val="0"/>
          <w:sz w:val="22"/>
        </w:rPr>
      </w:pPr>
      <w:r>
        <w:rPr>
          <w:b w:val="0"/>
          <w:sz w:val="22"/>
        </w:rPr>
        <w:t>3- and 4-year-old preschoolers (with IEP) and Preschool-Aged At-Risk (4-Years Old) will count as 0.5</w:t>
      </w:r>
      <w:r>
        <w:rPr>
          <w:b w:val="0"/>
          <w:spacing w:val="-2"/>
          <w:sz w:val="22"/>
        </w:rPr>
        <w:t> </w:t>
      </w:r>
      <w:r>
        <w:rPr>
          <w:b w:val="0"/>
          <w:sz w:val="22"/>
        </w:rPr>
        <w:t>FTE.</w:t>
      </w:r>
    </w:p>
    <w:p>
      <w:pPr>
        <w:pStyle w:val="ListParagraph"/>
        <w:numPr>
          <w:ilvl w:val="0"/>
          <w:numId w:val="2"/>
        </w:numPr>
        <w:tabs>
          <w:tab w:pos="980" w:val="left" w:leader="none"/>
          <w:tab w:pos="981" w:val="left" w:leader="none"/>
        </w:tabs>
        <w:spacing w:line="240" w:lineRule="auto" w:before="58" w:after="0"/>
        <w:ind w:left="980" w:right="831" w:hanging="361"/>
        <w:jc w:val="left"/>
        <w:rPr>
          <w:b w:val="0"/>
          <w:sz w:val="22"/>
        </w:rPr>
      </w:pPr>
      <w:r>
        <w:rPr>
          <w:b w:val="0"/>
          <w:sz w:val="22"/>
        </w:rPr>
        <w:t>Kindergarten through grade 12 and non-graded students receive an FTE based on minutes enrolled where 360 minutes = 1.0 FTE</w:t>
      </w:r>
      <w:r>
        <w:rPr>
          <w:b w:val="0"/>
          <w:spacing w:val="-5"/>
          <w:sz w:val="22"/>
        </w:rPr>
        <w:t> </w:t>
      </w:r>
      <w:r>
        <w:rPr>
          <w:b w:val="0"/>
          <w:sz w:val="22"/>
        </w:rPr>
        <w:t>(full-time).</w:t>
      </w:r>
    </w:p>
    <w:p>
      <w:pPr>
        <w:pStyle w:val="BodyText"/>
        <w:tabs>
          <w:tab w:pos="1520" w:val="left" w:leader="none"/>
        </w:tabs>
        <w:spacing w:before="61"/>
        <w:ind w:left="1520" w:right="638" w:hanging="361"/>
        <w:rPr>
          <w:b w:val="0"/>
        </w:rPr>
      </w:pPr>
      <w:r>
        <w:rPr>
          <w:rFonts w:ascii="Courier New"/>
        </w:rPr>
        <w:t>o</w:t>
        <w:tab/>
      </w:r>
      <w:r>
        <w:rPr>
          <w:b w:val="0"/>
        </w:rPr>
        <w:t>Students less than full-time will receive an FTE based on their minutes enrolled and rounded to the nearest one-tenth (one decimal</w:t>
      </w:r>
      <w:r>
        <w:rPr>
          <w:b w:val="0"/>
          <w:spacing w:val="-5"/>
        </w:rPr>
        <w:t> </w:t>
      </w:r>
      <w:r>
        <w:rPr>
          <w:b w:val="0"/>
        </w:rPr>
        <w:t>point).</w:t>
      </w:r>
    </w:p>
    <w:p>
      <w:pPr>
        <w:pStyle w:val="BodyText"/>
        <w:spacing w:before="7"/>
        <w:rPr>
          <w:b w:val="0"/>
          <w:sz w:val="23"/>
        </w:rPr>
      </w:pPr>
      <w:r>
        <w:rPr/>
        <w:pict>
          <v:shape style="position:absolute;margin-left:106.559998pt;margin-top:18.212772pt;width:434.9pt;height:.1pt;mso-position-horizontal-relative:page;mso-position-vertical-relative:paragraph;z-index:-251656192;mso-wrap-distance-left:0;mso-wrap-distance-right:0" coordorigin="2131,364" coordsize="8698,0" path="m2131,364l10829,364e" filled="false" stroked="true" strokeweight=".481pt" strokecolor="#ffa300">
            <v:path arrowok="t"/>
            <v:stroke dashstyle="solid"/>
            <w10:wrap type="topAndBottom"/>
          </v:shape>
        </w:pict>
      </w:r>
    </w:p>
    <w:p>
      <w:pPr>
        <w:pStyle w:val="BodyText"/>
        <w:tabs>
          <w:tab w:pos="2240" w:val="left" w:leader="none"/>
        </w:tabs>
        <w:spacing w:before="170"/>
        <w:ind w:left="2240" w:right="480" w:hanging="1260"/>
        <w:rPr>
          <w:b w:val="0"/>
        </w:rPr>
      </w:pPr>
      <w:r>
        <w:rPr>
          <w:b w:val="0"/>
          <w:color w:val="005486"/>
        </w:rPr>
        <w:t>Note:</w:t>
        <w:tab/>
        <w:t>Full-Time for concurrently enrolled students is 300 minutes. Full-time for Preschool-Aged At-Risk (4 years old) students is 180 minutes (maximum FTE is</w:t>
      </w:r>
      <w:r>
        <w:rPr>
          <w:b w:val="0"/>
          <w:color w:val="005486"/>
          <w:spacing w:val="-2"/>
        </w:rPr>
        <w:t> </w:t>
      </w:r>
      <w:r>
        <w:rPr>
          <w:b w:val="0"/>
          <w:color w:val="005486"/>
        </w:rPr>
        <w:t>0.5).</w:t>
      </w:r>
    </w:p>
    <w:p>
      <w:pPr>
        <w:pStyle w:val="BodyText"/>
        <w:spacing w:before="11"/>
        <w:rPr>
          <w:b w:val="0"/>
          <w:sz w:val="11"/>
        </w:rPr>
      </w:pPr>
      <w:r>
        <w:rPr/>
        <w:pict>
          <v:shape style="position:absolute;margin-left:106.559998pt;margin-top:10.260558pt;width:434.9pt;height:.1pt;mso-position-horizontal-relative:page;mso-position-vertical-relative:paragraph;z-index:-251655168;mso-wrap-distance-left:0;mso-wrap-distance-right:0" coordorigin="2131,205" coordsize="8698,0" path="m2131,205l10829,205e" filled="false" stroked="true" strokeweight=".48pt" strokecolor="#ffa300">
            <v:path arrowok="t"/>
            <v:stroke dashstyle="solid"/>
            <w10:wrap type="topAndBottom"/>
          </v:shape>
        </w:pict>
      </w:r>
    </w:p>
    <w:p>
      <w:pPr>
        <w:pStyle w:val="BodyText"/>
        <w:spacing w:before="12"/>
        <w:rPr>
          <w:b w:val="0"/>
          <w:sz w:val="16"/>
        </w:rPr>
      </w:pPr>
    </w:p>
    <w:p>
      <w:pPr>
        <w:pStyle w:val="ListParagraph"/>
        <w:numPr>
          <w:ilvl w:val="0"/>
          <w:numId w:val="2"/>
        </w:numPr>
        <w:tabs>
          <w:tab w:pos="980" w:val="left" w:leader="none"/>
          <w:tab w:pos="981" w:val="left" w:leader="none"/>
        </w:tabs>
        <w:spacing w:line="240" w:lineRule="auto" w:before="101" w:after="0"/>
        <w:ind w:left="980" w:right="622" w:hanging="361"/>
        <w:jc w:val="left"/>
        <w:rPr>
          <w:b w:val="0"/>
          <w:sz w:val="22"/>
        </w:rPr>
      </w:pPr>
      <w:r>
        <w:rPr>
          <w:b w:val="0"/>
          <w:sz w:val="22"/>
        </w:rPr>
        <w:t>Kindergarten through grade 12 students (with IEP) will count as a 1.0 FTE unless also enrolled as a virtual</w:t>
      </w:r>
      <w:r>
        <w:rPr>
          <w:b w:val="0"/>
          <w:spacing w:val="-7"/>
          <w:sz w:val="22"/>
        </w:rPr>
        <w:t> </w:t>
      </w:r>
      <w:r>
        <w:rPr>
          <w:b w:val="0"/>
          <w:sz w:val="22"/>
        </w:rPr>
        <w:t>student.</w:t>
      </w:r>
    </w:p>
    <w:p>
      <w:pPr>
        <w:spacing w:before="1"/>
        <w:ind w:left="980" w:right="0" w:firstLine="0"/>
        <w:jc w:val="left"/>
        <w:rPr>
          <w:b w:val="0"/>
          <w:i/>
          <w:sz w:val="22"/>
        </w:rPr>
      </w:pPr>
      <w:r>
        <w:rPr>
          <w:b w:val="0"/>
          <w:i/>
          <w:sz w:val="22"/>
        </w:rPr>
        <w:t>*See page 19 of the </w:t>
      </w:r>
      <w:hyperlink r:id="rId22">
        <w:r>
          <w:rPr>
            <w:b w:val="0"/>
            <w:i/>
            <w:color w:val="12284B"/>
            <w:sz w:val="22"/>
            <w:u w:val="single" w:color="12284B"/>
          </w:rPr>
          <w:t>Enrollment Handbook</w:t>
        </w:r>
        <w:r>
          <w:rPr>
            <w:b w:val="0"/>
            <w:i/>
            <w:color w:val="12284B"/>
            <w:sz w:val="22"/>
          </w:rPr>
          <w:t> </w:t>
        </w:r>
      </w:hyperlink>
      <w:r>
        <w:rPr>
          <w:b w:val="0"/>
          <w:i/>
          <w:sz w:val="22"/>
        </w:rPr>
        <w:t>on how virtual students with an IEP are counted.</w:t>
      </w:r>
    </w:p>
    <w:p>
      <w:pPr>
        <w:pStyle w:val="BodyText"/>
        <w:spacing w:before="55"/>
        <w:ind w:left="260" w:right="638" w:hanging="1"/>
        <w:rPr>
          <w:b w:val="0"/>
        </w:rPr>
      </w:pPr>
      <w:r>
        <w:rPr>
          <w:b w:val="0"/>
        </w:rPr>
        <w:t>Virtual Students that are 20 or older on September 20</w:t>
      </w:r>
      <w:r>
        <w:rPr>
          <w:b w:val="0"/>
          <w:position w:val="9"/>
          <w:sz w:val="14"/>
        </w:rPr>
        <w:t>th </w:t>
      </w:r>
      <w:r>
        <w:rPr>
          <w:b w:val="0"/>
        </w:rPr>
        <w:t>will receive an FTE based on the number of credits divided by 6.</w:t>
      </w:r>
    </w:p>
    <w:p>
      <w:pPr>
        <w:pStyle w:val="BodyText"/>
        <w:spacing w:before="6"/>
        <w:rPr>
          <w:b w:val="0"/>
          <w:sz w:val="23"/>
        </w:rPr>
      </w:pPr>
      <w:r>
        <w:rPr/>
        <w:pict>
          <v:shape style="position:absolute;margin-left:69pt;margin-top:18.190956pt;width:472.45pt;height:.1pt;mso-position-horizontal-relative:page;mso-position-vertical-relative:paragraph;z-index:-251654144;mso-wrap-distance-left:0;mso-wrap-distance-right:0" coordorigin="1380,364" coordsize="9449,0" path="m1380,364l10829,364e" filled="false" stroked="true" strokeweight=".48pt" strokecolor="#ffa300">
            <v:path arrowok="t"/>
            <v:stroke dashstyle="solid"/>
            <w10:wrap type="topAndBottom"/>
          </v:shape>
        </w:pict>
      </w:r>
    </w:p>
    <w:p>
      <w:pPr>
        <w:pStyle w:val="BodyText"/>
        <w:tabs>
          <w:tab w:pos="1519" w:val="left" w:leader="none"/>
        </w:tabs>
        <w:spacing w:before="170"/>
        <w:ind w:left="228"/>
        <w:rPr>
          <w:b w:val="0"/>
        </w:rPr>
      </w:pPr>
      <w:r>
        <w:rPr>
          <w:b w:val="0"/>
          <w:color w:val="005486"/>
        </w:rPr>
        <w:t>Note:</w:t>
        <w:tab/>
        <w:t>Kindergartners were counted as 0.5 FTE through the 2016-2017 school</w:t>
      </w:r>
      <w:r>
        <w:rPr>
          <w:b w:val="0"/>
          <w:color w:val="005486"/>
          <w:spacing w:val="-14"/>
        </w:rPr>
        <w:t> </w:t>
      </w:r>
      <w:r>
        <w:rPr>
          <w:b w:val="0"/>
          <w:color w:val="005486"/>
        </w:rPr>
        <w:t>year.</w:t>
      </w:r>
    </w:p>
    <w:p>
      <w:pPr>
        <w:pStyle w:val="BodyText"/>
        <w:spacing w:before="3"/>
        <w:ind w:left="1520"/>
        <w:rPr>
          <w:b w:val="0"/>
        </w:rPr>
      </w:pPr>
      <w:r>
        <w:rPr>
          <w:b w:val="0"/>
          <w:color w:val="005486"/>
        </w:rPr>
        <w:t>However, per </w:t>
      </w:r>
      <w:hyperlink r:id="rId23">
        <w:r>
          <w:rPr>
            <w:b w:val="0"/>
            <w:color w:val="12284B"/>
            <w:u w:val="single" w:color="12284B"/>
          </w:rPr>
          <w:t>KSA 72-5132</w:t>
        </w:r>
        <w:r>
          <w:rPr>
            <w:b w:val="0"/>
            <w:color w:val="005486"/>
          </w:rPr>
          <w:t>, </w:t>
        </w:r>
      </w:hyperlink>
      <w:r>
        <w:rPr>
          <w:b w:val="0"/>
          <w:color w:val="005486"/>
        </w:rPr>
        <w:t>starting in the 2017-2018 school year are counted as</w:t>
      </w:r>
    </w:p>
    <w:p>
      <w:pPr>
        <w:pStyle w:val="BodyText"/>
        <w:ind w:left="1520"/>
        <w:rPr>
          <w:b w:val="0"/>
        </w:rPr>
      </w:pPr>
      <w:r>
        <w:rPr>
          <w:b w:val="0"/>
          <w:color w:val="005486"/>
        </w:rPr>
        <w:t>1.0 FTE based on 360 minutes or on an IEP.</w:t>
      </w:r>
    </w:p>
    <w:p>
      <w:pPr>
        <w:pStyle w:val="BodyText"/>
        <w:spacing w:before="10"/>
        <w:rPr>
          <w:b w:val="0"/>
          <w:sz w:val="11"/>
        </w:rPr>
      </w:pPr>
      <w:r>
        <w:rPr/>
        <w:pict>
          <v:shape style="position:absolute;margin-left:69pt;margin-top:10.230059pt;width:472.45pt;height:.1pt;mso-position-horizontal-relative:page;mso-position-vertical-relative:paragraph;z-index:-251653120;mso-wrap-distance-left:0;mso-wrap-distance-right:0" coordorigin="1380,205" coordsize="9449,0" path="m1380,205l10829,205e" filled="false" stroked="true" strokeweight=".48pt" strokecolor="#ffa300">
            <v:path arrowok="t"/>
            <v:stroke dashstyle="solid"/>
            <w10:wrap type="topAndBottom"/>
          </v:shape>
        </w:pict>
      </w:r>
    </w:p>
    <w:p>
      <w:pPr>
        <w:pStyle w:val="BodyText"/>
        <w:spacing w:before="11"/>
        <w:rPr>
          <w:b w:val="0"/>
          <w:sz w:val="16"/>
        </w:rPr>
      </w:pPr>
    </w:p>
    <w:p>
      <w:pPr>
        <w:pStyle w:val="Heading2"/>
        <w:rPr>
          <w:b/>
        </w:rPr>
      </w:pPr>
      <w:bookmarkStart w:name="February 20 Count Day" w:id="20"/>
      <w:bookmarkEnd w:id="20"/>
      <w:r>
        <w:rPr/>
      </w:r>
      <w:bookmarkStart w:name="_bookmark12" w:id="21"/>
      <w:bookmarkEnd w:id="21"/>
      <w:r>
        <w:rPr/>
      </w:r>
      <w:r>
        <w:rPr>
          <w:b/>
        </w:rPr>
        <w:t>February 20 Count Day</w:t>
      </w:r>
    </w:p>
    <w:p>
      <w:pPr>
        <w:pStyle w:val="BodyText"/>
        <w:spacing w:line="237" w:lineRule="auto" w:before="243"/>
        <w:ind w:left="259" w:right="306"/>
        <w:rPr>
          <w:b w:val="0"/>
        </w:rPr>
      </w:pPr>
      <w:r>
        <w:rPr>
          <w:b w:val="0"/>
        </w:rPr>
        <w:t>In the 2005-2006 school year, </w:t>
      </w:r>
      <w:hyperlink r:id="rId23">
        <w:r>
          <w:rPr>
            <w:b w:val="0"/>
            <w:color w:val="12284B"/>
            <w:u w:val="single" w:color="12284B"/>
          </w:rPr>
          <w:t>KSA 72-5139</w:t>
        </w:r>
        <w:r>
          <w:rPr>
            <w:b w:val="0"/>
            <w:color w:val="12284B"/>
          </w:rPr>
          <w:t> </w:t>
        </w:r>
      </w:hyperlink>
      <w:r>
        <w:rPr>
          <w:b w:val="0"/>
        </w:rPr>
        <w:t>allowed a February 20 count for children of military families not enrolled on September 20</w:t>
      </w:r>
      <w:r>
        <w:rPr>
          <w:b w:val="0"/>
          <w:position w:val="9"/>
          <w:sz w:val="14"/>
        </w:rPr>
        <w:t>th</w:t>
      </w:r>
      <w:r>
        <w:rPr>
          <w:b w:val="0"/>
        </w:rPr>
        <w:t>.  To qualify, the district must have at least 25 FTE or 1% of adjusted enrollment. The February 20 count is added to the September 20</w:t>
      </w:r>
      <w:r>
        <w:rPr>
          <w:b w:val="0"/>
          <w:spacing w:val="-20"/>
        </w:rPr>
        <w:t> </w:t>
      </w:r>
      <w:r>
        <w:rPr>
          <w:b w:val="0"/>
        </w:rPr>
        <w:t>count.</w:t>
      </w:r>
    </w:p>
    <w:p>
      <w:pPr>
        <w:spacing w:after="0" w:line="237" w:lineRule="auto"/>
        <w:sectPr>
          <w:headerReference w:type="default" r:id="rId20"/>
          <w:footerReference w:type="default" r:id="rId21"/>
          <w:pgSz w:w="12240" w:h="15840"/>
          <w:pgMar w:header="1007" w:footer="1148" w:top="1220" w:bottom="1340" w:left="1180" w:right="1160"/>
          <w:pgNumType w:start="7"/>
        </w:sectPr>
      </w:pPr>
    </w:p>
    <w:p>
      <w:pPr>
        <w:pStyle w:val="BodyText"/>
        <w:rPr>
          <w:b w:val="0"/>
          <w:sz w:val="20"/>
        </w:rPr>
      </w:pPr>
    </w:p>
    <w:p>
      <w:pPr>
        <w:pStyle w:val="BodyText"/>
        <w:spacing w:before="11"/>
        <w:rPr>
          <w:b w:val="0"/>
          <w:sz w:val="16"/>
        </w:rPr>
      </w:pPr>
    </w:p>
    <w:p>
      <w:pPr>
        <w:pStyle w:val="Heading1"/>
      </w:pPr>
      <w:bookmarkStart w:name="Weighted (Adjusted) FTE Enrollment" w:id="22"/>
      <w:bookmarkEnd w:id="22"/>
      <w:r>
        <w:rPr>
          <w:b w:val="0"/>
        </w:rPr>
      </w:r>
      <w:bookmarkStart w:name="_bookmark14" w:id="23"/>
      <w:bookmarkEnd w:id="23"/>
      <w:r>
        <w:rPr>
          <w:b w:val="0"/>
        </w:rPr>
      </w:r>
      <w:r>
        <w:rPr>
          <w:color w:val="12284B"/>
        </w:rPr>
        <w:t>Weighted (Adjusted) FTE Enrollment</w:t>
      </w:r>
    </w:p>
    <w:p>
      <w:pPr>
        <w:pStyle w:val="BodyText"/>
        <w:spacing w:before="359"/>
        <w:ind w:left="259" w:right="265"/>
        <w:rPr>
          <w:b w:val="0"/>
        </w:rPr>
      </w:pPr>
      <w:r>
        <w:rPr>
          <w:b w:val="0"/>
        </w:rPr>
        <w:t>Full-time equivalency enrollment (FTE) on September 20, and February 20 if eligible, for grades Kindergarten through 12, plus 3- and 4-year-old preschool special education and Preschool- Aged At-Risk (4-years old) students, and an additional weighting for the following situations (see </w:t>
      </w:r>
      <w:hyperlink r:id="rId22">
        <w:r>
          <w:rPr>
            <w:b w:val="0"/>
            <w:color w:val="12284B"/>
            <w:u w:val="single" w:color="12284B"/>
          </w:rPr>
          <w:t>Enrollment Handbook</w:t>
        </w:r>
        <w:r>
          <w:rPr>
            <w:b w:val="0"/>
            <w:color w:val="12284B"/>
          </w:rPr>
          <w:t> </w:t>
        </w:r>
      </w:hyperlink>
      <w:r>
        <w:rPr>
          <w:b w:val="0"/>
        </w:rPr>
        <w:t>for more details):</w:t>
      </w:r>
    </w:p>
    <w:p>
      <w:pPr>
        <w:pStyle w:val="BodyText"/>
        <w:spacing w:before="8"/>
        <w:rPr>
          <w:b w:val="0"/>
          <w:sz w:val="23"/>
        </w:rPr>
      </w:pPr>
      <w:r>
        <w:rPr/>
        <w:pict>
          <v:shape style="position:absolute;margin-left:69pt;margin-top:18.308321pt;width:472.45pt;height:.1pt;mso-position-horizontal-relative:page;mso-position-vertical-relative:paragraph;z-index:-251652096;mso-wrap-distance-left:0;mso-wrap-distance-right:0" coordorigin="1380,366" coordsize="9449,0" path="m1380,366l10829,366e" filled="false" stroked="true" strokeweight=".48pt" strokecolor="#ffa300">
            <v:path arrowok="t"/>
            <v:stroke dashstyle="solid"/>
            <w10:wrap type="topAndBottom"/>
          </v:shape>
        </w:pict>
      </w:r>
    </w:p>
    <w:p>
      <w:pPr>
        <w:pStyle w:val="BodyText"/>
        <w:tabs>
          <w:tab w:pos="1519" w:val="left" w:leader="none"/>
        </w:tabs>
        <w:spacing w:before="170"/>
        <w:ind w:left="228"/>
        <w:rPr>
          <w:b w:val="0"/>
        </w:rPr>
      </w:pPr>
      <w:r>
        <w:rPr>
          <w:b w:val="0"/>
          <w:color w:val="005486"/>
        </w:rPr>
        <w:t>Note:</w:t>
        <w:tab/>
        <w:t>All weighted FTE’s are rounded to the nearest tenth (1</w:t>
      </w:r>
      <w:r>
        <w:rPr>
          <w:b w:val="0"/>
          <w:color w:val="005486"/>
          <w:spacing w:val="-12"/>
        </w:rPr>
        <w:t> </w:t>
      </w:r>
      <w:r>
        <w:rPr>
          <w:b w:val="0"/>
          <w:color w:val="005486"/>
        </w:rPr>
        <w:t>decimal).</w:t>
      </w:r>
    </w:p>
    <w:p>
      <w:pPr>
        <w:pStyle w:val="BodyText"/>
        <w:spacing w:before="10"/>
        <w:rPr>
          <w:b w:val="0"/>
          <w:sz w:val="11"/>
        </w:rPr>
      </w:pPr>
      <w:r>
        <w:rPr/>
        <w:pict>
          <v:shape style="position:absolute;margin-left:69pt;margin-top:10.219520pt;width:472.45pt;height:.1pt;mso-position-horizontal-relative:page;mso-position-vertical-relative:paragraph;z-index:-251651072;mso-wrap-distance-left:0;mso-wrap-distance-right:0" coordorigin="1380,204" coordsize="9449,0" path="m1380,204l10829,204e" filled="false" stroked="true" strokeweight=".481pt" strokecolor="#ffa300">
            <v:path arrowok="t"/>
            <v:stroke dashstyle="solid"/>
            <w10:wrap type="topAndBottom"/>
          </v:shape>
        </w:pict>
      </w:r>
    </w:p>
    <w:p>
      <w:pPr>
        <w:pStyle w:val="BodyText"/>
        <w:spacing w:before="12"/>
        <w:rPr>
          <w:b w:val="0"/>
          <w:sz w:val="16"/>
        </w:rPr>
      </w:pPr>
    </w:p>
    <w:p>
      <w:pPr>
        <w:pStyle w:val="ListParagraph"/>
        <w:numPr>
          <w:ilvl w:val="0"/>
          <w:numId w:val="3"/>
        </w:numPr>
        <w:tabs>
          <w:tab w:pos="801" w:val="left" w:leader="none"/>
        </w:tabs>
        <w:spacing w:line="240" w:lineRule="auto" w:before="101" w:after="0"/>
        <w:ind w:left="799" w:right="308" w:hanging="360"/>
        <w:jc w:val="both"/>
        <w:rPr>
          <w:b w:val="0"/>
          <w:sz w:val="22"/>
        </w:rPr>
      </w:pPr>
      <w:r>
        <w:rPr>
          <w:rFonts w:ascii="Open Sans" w:hAnsi="Open Sans"/>
          <w:sz w:val="22"/>
          <w:u w:val="single"/>
        </w:rPr>
        <w:t>Transportation:</w:t>
      </w:r>
      <w:r>
        <w:rPr>
          <w:rFonts w:ascii="Open Sans" w:hAnsi="Open Sans"/>
          <w:sz w:val="22"/>
        </w:rPr>
        <w:t> </w:t>
      </w:r>
      <w:r>
        <w:rPr>
          <w:b w:val="0"/>
          <w:sz w:val="22"/>
        </w:rPr>
        <w:t>per</w:t>
      </w:r>
      <w:r>
        <w:rPr>
          <w:b w:val="0"/>
          <w:color w:val="12284B"/>
          <w:sz w:val="22"/>
        </w:rPr>
        <w:t> </w:t>
      </w:r>
      <w:hyperlink r:id="rId26">
        <w:r>
          <w:rPr>
            <w:b w:val="0"/>
            <w:color w:val="12284B"/>
            <w:sz w:val="22"/>
            <w:u w:val="single" w:color="12284B"/>
          </w:rPr>
          <w:t>KSA 72-5148</w:t>
        </w:r>
        <w:r>
          <w:rPr>
            <w:b w:val="0"/>
            <w:sz w:val="22"/>
          </w:rPr>
          <w:t>, </w:t>
        </w:r>
      </w:hyperlink>
      <w:r>
        <w:rPr>
          <w:b w:val="0"/>
          <w:sz w:val="22"/>
        </w:rPr>
        <w:t>only students transported by the district that live more than 2.5 miles from their attendance center for the current year are to be included in the calculation as Transportation</w:t>
      </w:r>
      <w:r>
        <w:rPr>
          <w:b w:val="0"/>
          <w:spacing w:val="-5"/>
          <w:sz w:val="22"/>
        </w:rPr>
        <w:t> </w:t>
      </w:r>
      <w:r>
        <w:rPr>
          <w:b w:val="0"/>
          <w:sz w:val="22"/>
        </w:rPr>
        <w:t>FTE.</w:t>
      </w:r>
    </w:p>
    <w:p>
      <w:pPr>
        <w:pStyle w:val="ListParagraph"/>
        <w:numPr>
          <w:ilvl w:val="1"/>
          <w:numId w:val="3"/>
        </w:numPr>
        <w:tabs>
          <w:tab w:pos="360" w:val="left" w:leader="none"/>
          <w:tab w:pos="361" w:val="left" w:leader="none"/>
        </w:tabs>
        <w:spacing w:line="301" w:lineRule="exact" w:before="1" w:after="0"/>
        <w:ind w:left="1340" w:right="2212" w:hanging="1341"/>
        <w:jc w:val="right"/>
        <w:rPr>
          <w:b w:val="0"/>
          <w:sz w:val="22"/>
        </w:rPr>
      </w:pPr>
      <w:r>
        <w:rPr>
          <w:b w:val="0"/>
          <w:sz w:val="22"/>
        </w:rPr>
        <w:t>Density of District </w:t>
      </w:r>
      <w:r>
        <w:rPr>
          <w:rFonts w:ascii="Open Sans Semibold" w:hAnsi="Open Sans Semibold"/>
          <w:b/>
          <w:color w:val="D40031"/>
          <w:sz w:val="22"/>
        </w:rPr>
        <w:t>= </w:t>
      </w:r>
      <w:r>
        <w:rPr>
          <w:b w:val="0"/>
          <w:sz w:val="22"/>
        </w:rPr>
        <w:t>Transportation FTE </w:t>
      </w:r>
      <w:r>
        <w:rPr>
          <w:rFonts w:ascii="Open Sans Semibold" w:hAnsi="Open Sans Semibold"/>
          <w:b/>
          <w:color w:val="D40031"/>
          <w:sz w:val="22"/>
        </w:rPr>
        <w:t>÷ </w:t>
      </w:r>
      <w:r>
        <w:rPr>
          <w:b w:val="0"/>
          <w:sz w:val="22"/>
        </w:rPr>
        <w:t>Square Miles of</w:t>
      </w:r>
      <w:r>
        <w:rPr>
          <w:b w:val="0"/>
          <w:spacing w:val="-20"/>
          <w:sz w:val="22"/>
        </w:rPr>
        <w:t> </w:t>
      </w:r>
      <w:r>
        <w:rPr>
          <w:b w:val="0"/>
          <w:sz w:val="22"/>
        </w:rPr>
        <w:t>district</w:t>
      </w:r>
    </w:p>
    <w:p>
      <w:pPr>
        <w:pStyle w:val="ListParagraph"/>
        <w:numPr>
          <w:ilvl w:val="2"/>
          <w:numId w:val="3"/>
        </w:numPr>
        <w:tabs>
          <w:tab w:pos="360" w:val="left" w:leader="none"/>
          <w:tab w:pos="361" w:val="left" w:leader="none"/>
        </w:tabs>
        <w:spacing w:line="299" w:lineRule="exact" w:before="0" w:after="0"/>
        <w:ind w:left="1880" w:right="2171" w:hanging="1881"/>
        <w:jc w:val="right"/>
        <w:rPr>
          <w:b w:val="0"/>
          <w:sz w:val="22"/>
        </w:rPr>
      </w:pPr>
      <w:r>
        <w:rPr>
          <w:b w:val="0"/>
          <w:sz w:val="22"/>
        </w:rPr>
        <w:t>Use the Density Table to find districts per Capita</w:t>
      </w:r>
      <w:r>
        <w:rPr>
          <w:b w:val="0"/>
          <w:spacing w:val="-20"/>
          <w:sz w:val="22"/>
        </w:rPr>
        <w:t> </w:t>
      </w:r>
      <w:r>
        <w:rPr>
          <w:b w:val="0"/>
          <w:sz w:val="22"/>
        </w:rPr>
        <w:t>Allowance.</w:t>
      </w:r>
    </w:p>
    <w:p>
      <w:pPr>
        <w:pStyle w:val="ListParagraph"/>
        <w:numPr>
          <w:ilvl w:val="1"/>
          <w:numId w:val="3"/>
        </w:numPr>
        <w:tabs>
          <w:tab w:pos="1340" w:val="left" w:leader="none"/>
          <w:tab w:pos="1341" w:val="left" w:leader="none"/>
        </w:tabs>
        <w:spacing w:line="240" w:lineRule="auto" w:before="58" w:after="0"/>
        <w:ind w:left="1340" w:right="0" w:hanging="361"/>
        <w:jc w:val="left"/>
        <w:rPr>
          <w:b w:val="0"/>
          <w:sz w:val="22"/>
        </w:rPr>
      </w:pPr>
      <w:r>
        <w:rPr>
          <w:b w:val="0"/>
          <w:sz w:val="22"/>
        </w:rPr>
        <w:t>BASE Change </w:t>
      </w:r>
      <w:r>
        <w:rPr>
          <w:rFonts w:ascii="Open Sans Semibold" w:hAnsi="Open Sans Semibold"/>
          <w:b/>
          <w:color w:val="D40031"/>
          <w:sz w:val="22"/>
        </w:rPr>
        <w:t>=</w:t>
      </w:r>
      <w:r>
        <w:rPr>
          <w:rFonts w:ascii="Open Sans Semibold" w:hAnsi="Open Sans Semibold"/>
          <w:b/>
          <w:color w:val="12284B"/>
          <w:sz w:val="22"/>
        </w:rPr>
        <w:t> </w:t>
      </w:r>
      <w:hyperlink w:history="true" w:anchor="_bookmark5">
        <w:r>
          <w:rPr>
            <w:b w:val="0"/>
            <w:color w:val="12284B"/>
            <w:sz w:val="22"/>
            <w:u w:val="single" w:color="12284B"/>
          </w:rPr>
          <w:t>BASE</w:t>
        </w:r>
        <w:r>
          <w:rPr>
            <w:b w:val="0"/>
            <w:color w:val="12284B"/>
            <w:sz w:val="22"/>
          </w:rPr>
          <w:t> </w:t>
        </w:r>
      </w:hyperlink>
      <w:r>
        <w:rPr>
          <w:rFonts w:ascii="Open Sans Semibold" w:hAnsi="Open Sans Semibold"/>
          <w:b/>
          <w:color w:val="D40031"/>
          <w:sz w:val="22"/>
        </w:rPr>
        <w:t>÷ </w:t>
      </w:r>
      <w:r>
        <w:rPr>
          <w:b w:val="0"/>
          <w:sz w:val="22"/>
        </w:rPr>
        <w:t>$4,165 (2018-2019</w:t>
      </w:r>
      <w:r>
        <w:rPr>
          <w:b w:val="0"/>
          <w:spacing w:val="-6"/>
          <w:sz w:val="22"/>
        </w:rPr>
        <w:t> </w:t>
      </w:r>
      <w:r>
        <w:rPr>
          <w:b w:val="0"/>
          <w:sz w:val="22"/>
        </w:rPr>
        <w:t>BASE)</w:t>
      </w:r>
    </w:p>
    <w:p>
      <w:pPr>
        <w:pStyle w:val="ListParagraph"/>
        <w:numPr>
          <w:ilvl w:val="1"/>
          <w:numId w:val="3"/>
        </w:numPr>
        <w:tabs>
          <w:tab w:pos="1340" w:val="left" w:leader="none"/>
          <w:tab w:pos="1341" w:val="left" w:leader="none"/>
        </w:tabs>
        <w:spacing w:line="240" w:lineRule="auto" w:before="119" w:after="0"/>
        <w:ind w:left="1340" w:right="618" w:hanging="361"/>
        <w:jc w:val="left"/>
        <w:rPr>
          <w:b w:val="0"/>
          <w:sz w:val="22"/>
        </w:rPr>
      </w:pPr>
      <w:r>
        <w:rPr>
          <w:b w:val="0"/>
          <w:sz w:val="22"/>
        </w:rPr>
        <w:t>Transportation State Aid (current year) </w:t>
      </w:r>
      <w:r>
        <w:rPr>
          <w:rFonts w:ascii="Open Sans Semibold" w:hAnsi="Open Sans Semibold"/>
          <w:b/>
          <w:color w:val="D40031"/>
          <w:sz w:val="22"/>
        </w:rPr>
        <w:t>= </w:t>
      </w:r>
      <w:r>
        <w:rPr>
          <w:rFonts w:ascii="Open Sans Semibold" w:hAnsi="Open Sans Semibold"/>
          <w:b/>
          <w:color w:val="00B795"/>
          <w:sz w:val="22"/>
        </w:rPr>
        <w:t>[(</w:t>
      </w:r>
      <w:r>
        <w:rPr>
          <w:b w:val="0"/>
          <w:sz w:val="22"/>
        </w:rPr>
        <w:t>Per Capita Allowance </w:t>
      </w:r>
      <w:r>
        <w:rPr>
          <w:rFonts w:ascii="Open Sans Semibold" w:hAnsi="Open Sans Semibold"/>
          <w:b/>
          <w:color w:val="D40031"/>
          <w:sz w:val="22"/>
        </w:rPr>
        <w:t>x </w:t>
      </w:r>
      <w:r>
        <w:rPr>
          <w:b w:val="0"/>
          <w:sz w:val="22"/>
        </w:rPr>
        <w:t>Transportation FTE</w:t>
      </w:r>
      <w:r>
        <w:rPr>
          <w:rFonts w:ascii="Open Sans Semibold" w:hAnsi="Open Sans Semibold"/>
          <w:b/>
          <w:color w:val="00B795"/>
          <w:sz w:val="22"/>
        </w:rPr>
        <w:t>) </w:t>
      </w:r>
      <w:r>
        <w:rPr>
          <w:rFonts w:ascii="Open Sans Semibold" w:hAnsi="Open Sans Semibold"/>
          <w:b/>
          <w:color w:val="D40031"/>
          <w:sz w:val="22"/>
        </w:rPr>
        <w:t>x </w:t>
      </w:r>
      <w:r>
        <w:rPr>
          <w:b w:val="0"/>
          <w:sz w:val="22"/>
        </w:rPr>
        <w:t>1.00 (constant)</w:t>
      </w:r>
      <w:r>
        <w:rPr>
          <w:rFonts w:ascii="Open Sans Semibold" w:hAnsi="Open Sans Semibold"/>
          <w:b/>
          <w:color w:val="00B795"/>
          <w:sz w:val="22"/>
        </w:rPr>
        <w:t>] </w:t>
      </w:r>
      <w:r>
        <w:rPr>
          <w:rFonts w:ascii="Open Sans Semibold" w:hAnsi="Open Sans Semibold"/>
          <w:b/>
          <w:color w:val="D40031"/>
          <w:sz w:val="22"/>
        </w:rPr>
        <w:t>x </w:t>
      </w:r>
      <w:r>
        <w:rPr>
          <w:b w:val="0"/>
          <w:sz w:val="22"/>
        </w:rPr>
        <w:t>BASE</w:t>
      </w:r>
      <w:r>
        <w:rPr>
          <w:b w:val="0"/>
          <w:spacing w:val="-6"/>
          <w:sz w:val="22"/>
        </w:rPr>
        <w:t> </w:t>
      </w:r>
      <w:r>
        <w:rPr>
          <w:b w:val="0"/>
          <w:sz w:val="22"/>
        </w:rPr>
        <w:t>Change</w:t>
      </w:r>
    </w:p>
    <w:p>
      <w:pPr>
        <w:pStyle w:val="ListParagraph"/>
        <w:numPr>
          <w:ilvl w:val="2"/>
          <w:numId w:val="3"/>
        </w:numPr>
        <w:tabs>
          <w:tab w:pos="1879" w:val="left" w:leader="none"/>
          <w:tab w:pos="1880" w:val="left" w:leader="none"/>
        </w:tabs>
        <w:spacing w:line="240" w:lineRule="auto" w:before="0" w:after="0"/>
        <w:ind w:left="1879" w:right="374" w:hanging="361"/>
        <w:jc w:val="left"/>
        <w:rPr>
          <w:b w:val="0"/>
          <w:sz w:val="22"/>
        </w:rPr>
      </w:pPr>
      <w:r>
        <w:rPr>
          <w:b w:val="0"/>
          <w:sz w:val="22"/>
        </w:rPr>
        <w:t>Transportation State Aid (current year) is capped at 110% of prior year’s transportation costs, but cannot be less than 2016-2017 Transportation State Aid.</w:t>
      </w:r>
    </w:p>
    <w:p>
      <w:pPr>
        <w:pStyle w:val="ListParagraph"/>
        <w:numPr>
          <w:ilvl w:val="1"/>
          <w:numId w:val="3"/>
        </w:numPr>
        <w:tabs>
          <w:tab w:pos="1340" w:val="left" w:leader="none"/>
          <w:tab w:pos="1341" w:val="left" w:leader="none"/>
        </w:tabs>
        <w:spacing w:line="240" w:lineRule="auto" w:before="58" w:after="0"/>
        <w:ind w:left="1340" w:right="0" w:hanging="362"/>
        <w:jc w:val="left"/>
        <w:rPr>
          <w:b w:val="0"/>
          <w:sz w:val="22"/>
        </w:rPr>
      </w:pPr>
      <w:r>
        <w:rPr>
          <w:b w:val="0"/>
          <w:sz w:val="22"/>
        </w:rPr>
        <w:t>Transportation Weighted FTE </w:t>
      </w:r>
      <w:r>
        <w:rPr>
          <w:rFonts w:ascii="Open Sans Semibold" w:hAnsi="Open Sans Semibold"/>
          <w:b/>
          <w:color w:val="D40031"/>
          <w:sz w:val="22"/>
        </w:rPr>
        <w:t>= </w:t>
      </w:r>
      <w:r>
        <w:rPr>
          <w:b w:val="0"/>
          <w:sz w:val="22"/>
        </w:rPr>
        <w:t>Transportation State Aid (current year) </w:t>
      </w:r>
      <w:r>
        <w:rPr>
          <w:rFonts w:ascii="Open Sans Semibold" w:hAnsi="Open Sans Semibold"/>
          <w:b/>
          <w:color w:val="D40031"/>
          <w:sz w:val="22"/>
        </w:rPr>
        <w:t>÷</w:t>
      </w:r>
      <w:r>
        <w:rPr>
          <w:rFonts w:ascii="Open Sans Semibold" w:hAnsi="Open Sans Semibold"/>
          <w:b/>
          <w:color w:val="12284B"/>
          <w:spacing w:val="-15"/>
          <w:sz w:val="22"/>
        </w:rPr>
        <w:t> </w:t>
      </w:r>
      <w:hyperlink w:history="true" w:anchor="_bookmark5">
        <w:r>
          <w:rPr>
            <w:b w:val="0"/>
            <w:color w:val="12284B"/>
            <w:sz w:val="22"/>
            <w:u w:val="single" w:color="12284B"/>
          </w:rPr>
          <w:t>BASE</w:t>
        </w:r>
      </w:hyperlink>
    </w:p>
    <w:p>
      <w:pPr>
        <w:pStyle w:val="ListParagraph"/>
        <w:numPr>
          <w:ilvl w:val="0"/>
          <w:numId w:val="3"/>
        </w:numPr>
        <w:tabs>
          <w:tab w:pos="800" w:val="left" w:leader="none"/>
          <w:tab w:pos="801" w:val="left" w:leader="none"/>
        </w:tabs>
        <w:spacing w:line="240" w:lineRule="auto" w:before="118" w:after="0"/>
        <w:ind w:left="800" w:right="398" w:hanging="360"/>
        <w:jc w:val="left"/>
        <w:rPr>
          <w:b w:val="0"/>
          <w:sz w:val="22"/>
        </w:rPr>
      </w:pPr>
      <w:r>
        <w:rPr>
          <w:rFonts w:ascii="Open Sans" w:hAnsi="Open Sans"/>
          <w:sz w:val="22"/>
          <w:u w:val="single"/>
        </w:rPr>
        <w:t>Low or High Enrollment:</w:t>
      </w:r>
      <w:r>
        <w:rPr>
          <w:rFonts w:ascii="Open Sans" w:hAnsi="Open Sans"/>
          <w:sz w:val="22"/>
        </w:rPr>
        <w:t> </w:t>
      </w:r>
      <w:r>
        <w:rPr>
          <w:b w:val="0"/>
          <w:sz w:val="22"/>
        </w:rPr>
        <w:t>Districts with 1,622 or less (low), or greater than 1,622 (high)</w:t>
      </w:r>
      <w:r>
        <w:rPr>
          <w:b w:val="0"/>
          <w:color w:val="12284B"/>
          <w:sz w:val="22"/>
          <w:u w:val="single" w:color="12284B"/>
        </w:rPr>
        <w:t> </w:t>
      </w:r>
      <w:hyperlink w:history="true" w:anchor="_bookmark6">
        <w:r>
          <w:rPr>
            <w:b w:val="0"/>
            <w:color w:val="12284B"/>
            <w:sz w:val="22"/>
            <w:u w:val="single" w:color="12284B"/>
          </w:rPr>
          <w:t>FTE enrollment used for funding current year</w:t>
        </w:r>
        <w:r>
          <w:rPr>
            <w:b w:val="0"/>
            <w:color w:val="12284B"/>
            <w:sz w:val="22"/>
          </w:rPr>
          <w:t> </w:t>
        </w:r>
      </w:hyperlink>
      <w:r>
        <w:rPr>
          <w:b w:val="0"/>
          <w:sz w:val="22"/>
        </w:rPr>
        <w:t>+ current year’s Preschool-Aged At-Risk (4- years old) are given weighting factors, rounded to the nearest ten thousandth, as follows (this enrollment is represented as “FE” in the calculations</w:t>
      </w:r>
      <w:r>
        <w:rPr>
          <w:b w:val="0"/>
          <w:spacing w:val="-8"/>
          <w:sz w:val="22"/>
        </w:rPr>
        <w:t> </w:t>
      </w:r>
      <w:r>
        <w:rPr>
          <w:b w:val="0"/>
          <w:sz w:val="22"/>
        </w:rPr>
        <w:t>below):</w:t>
      </w:r>
    </w:p>
    <w:p>
      <w:pPr>
        <w:pStyle w:val="ListParagraph"/>
        <w:numPr>
          <w:ilvl w:val="1"/>
          <w:numId w:val="3"/>
        </w:numPr>
        <w:tabs>
          <w:tab w:pos="1339" w:val="left" w:leader="none"/>
          <w:tab w:pos="1340" w:val="left" w:leader="none"/>
        </w:tabs>
        <w:spacing w:line="304" w:lineRule="exact" w:before="0" w:after="0"/>
        <w:ind w:left="1340" w:right="0" w:hanging="360"/>
        <w:jc w:val="left"/>
        <w:rPr>
          <w:b w:val="0"/>
          <w:sz w:val="22"/>
        </w:rPr>
      </w:pPr>
      <w:r>
        <w:rPr>
          <w:b w:val="0"/>
          <w:i/>
          <w:spacing w:val="-4"/>
          <w:sz w:val="23"/>
        </w:rPr>
        <w:t>0-99.9 </w:t>
      </w:r>
      <w:r>
        <w:rPr>
          <w:b w:val="0"/>
          <w:i/>
          <w:spacing w:val="-6"/>
          <w:sz w:val="23"/>
        </w:rPr>
        <w:t>FE: </w:t>
      </w:r>
      <w:r>
        <w:rPr>
          <w:b w:val="0"/>
          <w:sz w:val="22"/>
        </w:rPr>
        <w:t>1.014331 </w:t>
      </w:r>
      <w:r>
        <w:rPr>
          <w:rFonts w:ascii="Open Sans Semibold" w:hAnsi="Open Sans Semibold"/>
          <w:b/>
          <w:color w:val="D40031"/>
          <w:sz w:val="22"/>
        </w:rPr>
        <w:t>= </w:t>
      </w:r>
      <w:r>
        <w:rPr>
          <w:b w:val="0"/>
          <w:sz w:val="22"/>
        </w:rPr>
        <w:t>Weighting Factor for districts with FE between 0 &amp;</w:t>
      </w:r>
      <w:r>
        <w:rPr>
          <w:b w:val="0"/>
          <w:spacing w:val="-11"/>
          <w:sz w:val="22"/>
        </w:rPr>
        <w:t> </w:t>
      </w:r>
      <w:r>
        <w:rPr>
          <w:b w:val="0"/>
          <w:sz w:val="22"/>
        </w:rPr>
        <w:t>99.9.</w:t>
      </w:r>
    </w:p>
    <w:p>
      <w:pPr>
        <w:pStyle w:val="BodyText"/>
        <w:tabs>
          <w:tab w:pos="1339" w:val="left" w:leader="none"/>
        </w:tabs>
        <w:spacing w:line="312" w:lineRule="exact" w:before="105"/>
        <w:ind w:left="980"/>
        <w:rPr>
          <w:b w:val="0"/>
        </w:rPr>
      </w:pPr>
      <w:r>
        <w:rPr>
          <w:rFonts w:ascii="Courier New" w:hAnsi="Courier New"/>
        </w:rPr>
        <w:t>o</w:t>
        <w:tab/>
      </w:r>
      <w:r>
        <w:rPr>
          <w:b w:val="0"/>
          <w:i/>
          <w:spacing w:val="-4"/>
          <w:sz w:val="23"/>
        </w:rPr>
        <w:t>100-299.9 </w:t>
      </w:r>
      <w:r>
        <w:rPr>
          <w:b w:val="0"/>
          <w:i/>
          <w:spacing w:val="-5"/>
          <w:sz w:val="23"/>
        </w:rPr>
        <w:t>FE: </w:t>
      </w:r>
      <w:r>
        <w:rPr>
          <w:rFonts w:ascii="Open Sans Semibold" w:hAnsi="Open Sans Semibold"/>
          <w:b/>
          <w:color w:val="00B795"/>
        </w:rPr>
        <w:t>{[</w:t>
      </w:r>
      <w:r>
        <w:rPr>
          <w:b w:val="0"/>
        </w:rPr>
        <w:t>7,337</w:t>
      </w:r>
      <w:r>
        <w:rPr>
          <w:rFonts w:ascii="Open Sans Semibold" w:hAnsi="Open Sans Semibold"/>
          <w:b/>
          <w:color w:val="D40031"/>
        </w:rPr>
        <w:t>- </w:t>
      </w:r>
      <w:r>
        <w:rPr>
          <w:b w:val="0"/>
        </w:rPr>
        <w:t>9.655 </w:t>
      </w:r>
      <w:r>
        <w:rPr>
          <w:rFonts w:ascii="Open Sans Semibold" w:hAnsi="Open Sans Semibold"/>
          <w:b/>
          <w:color w:val="00B795"/>
        </w:rPr>
        <w:t>(</w:t>
      </w:r>
      <w:r>
        <w:rPr>
          <w:b w:val="0"/>
        </w:rPr>
        <w:t>FE </w:t>
      </w:r>
      <w:r>
        <w:rPr>
          <w:rFonts w:ascii="Open Sans Semibold" w:hAnsi="Open Sans Semibold"/>
          <w:b/>
          <w:color w:val="D40031"/>
        </w:rPr>
        <w:t>– </w:t>
      </w:r>
      <w:r>
        <w:rPr>
          <w:b w:val="0"/>
        </w:rPr>
        <w:t>100</w:t>
      </w:r>
      <w:r>
        <w:rPr>
          <w:rFonts w:ascii="Open Sans Semibold" w:hAnsi="Open Sans Semibold"/>
          <w:b/>
          <w:color w:val="00B795"/>
        </w:rPr>
        <w:t>)] </w:t>
      </w:r>
      <w:r>
        <w:rPr>
          <w:rFonts w:ascii="Open Sans Semibold" w:hAnsi="Open Sans Semibold"/>
          <w:b/>
          <w:color w:val="D40031"/>
        </w:rPr>
        <w:t>÷ </w:t>
      </w:r>
      <w:r>
        <w:rPr>
          <w:b w:val="0"/>
        </w:rPr>
        <w:t>3,642.4</w:t>
      </w:r>
      <w:r>
        <w:rPr>
          <w:rFonts w:ascii="Open Sans Semibold" w:hAnsi="Open Sans Semibold"/>
          <w:b/>
          <w:color w:val="00B795"/>
        </w:rPr>
        <w:t>} </w:t>
      </w:r>
      <w:r>
        <w:rPr>
          <w:rFonts w:ascii="Open Sans Semibold" w:hAnsi="Open Sans Semibold"/>
          <w:b/>
          <w:color w:val="D40031"/>
        </w:rPr>
        <w:t>– </w:t>
      </w:r>
      <w:r>
        <w:rPr>
          <w:b w:val="0"/>
        </w:rPr>
        <w:t>1 </w:t>
      </w:r>
      <w:r>
        <w:rPr>
          <w:rFonts w:ascii="Open Sans Semibold" w:hAnsi="Open Sans Semibold"/>
          <w:b/>
          <w:color w:val="D40031"/>
        </w:rPr>
        <w:t>= </w:t>
      </w:r>
      <w:r>
        <w:rPr>
          <w:b w:val="0"/>
        </w:rPr>
        <w:t>Weighting Factor</w:t>
      </w:r>
      <w:r>
        <w:rPr>
          <w:b w:val="0"/>
          <w:spacing w:val="-19"/>
        </w:rPr>
        <w:t> </w:t>
      </w:r>
      <w:r>
        <w:rPr>
          <w:b w:val="0"/>
        </w:rPr>
        <w:t>for</w:t>
      </w:r>
    </w:p>
    <w:p>
      <w:pPr>
        <w:pStyle w:val="BodyText"/>
        <w:spacing w:line="298" w:lineRule="exact"/>
        <w:ind w:left="1339"/>
        <w:rPr>
          <w:b w:val="0"/>
        </w:rPr>
      </w:pPr>
      <w:r>
        <w:rPr>
          <w:b w:val="0"/>
        </w:rPr>
        <w:t>districts with FE between 100 &amp; 299.9</w:t>
      </w:r>
    </w:p>
    <w:p>
      <w:pPr>
        <w:pStyle w:val="BodyText"/>
        <w:tabs>
          <w:tab w:pos="1339" w:val="left" w:leader="none"/>
        </w:tabs>
        <w:spacing w:line="312" w:lineRule="exact" w:before="109"/>
        <w:ind w:left="980"/>
        <w:rPr>
          <w:b w:val="0"/>
        </w:rPr>
      </w:pPr>
      <w:r>
        <w:rPr>
          <w:rFonts w:ascii="Courier New" w:hAnsi="Courier New"/>
        </w:rPr>
        <w:t>o</w:t>
        <w:tab/>
      </w:r>
      <w:r>
        <w:rPr>
          <w:b w:val="0"/>
          <w:i/>
          <w:spacing w:val="-4"/>
          <w:sz w:val="23"/>
        </w:rPr>
        <w:t>300-1,621.9 </w:t>
      </w:r>
      <w:r>
        <w:rPr>
          <w:b w:val="0"/>
          <w:i/>
          <w:spacing w:val="-5"/>
          <w:sz w:val="23"/>
        </w:rPr>
        <w:t>FE: </w:t>
      </w:r>
      <w:r>
        <w:rPr>
          <w:rFonts w:ascii="Open Sans Semibold" w:hAnsi="Open Sans Semibold"/>
          <w:b/>
          <w:color w:val="00B795"/>
        </w:rPr>
        <w:t>{[</w:t>
      </w:r>
      <w:r>
        <w:rPr>
          <w:b w:val="0"/>
        </w:rPr>
        <w:t>5,406 </w:t>
      </w:r>
      <w:r>
        <w:rPr>
          <w:rFonts w:ascii="Open Sans Semibold" w:hAnsi="Open Sans Semibold"/>
          <w:b/>
          <w:color w:val="D40031"/>
        </w:rPr>
        <w:t>– </w:t>
      </w:r>
      <w:r>
        <w:rPr>
          <w:b w:val="0"/>
        </w:rPr>
        <w:t>1.2375 </w:t>
      </w:r>
      <w:r>
        <w:rPr>
          <w:rFonts w:ascii="Open Sans Semibold" w:hAnsi="Open Sans Semibold"/>
          <w:b/>
          <w:color w:val="00B795"/>
        </w:rPr>
        <w:t>(</w:t>
      </w:r>
      <w:r>
        <w:rPr>
          <w:b w:val="0"/>
        </w:rPr>
        <w:t>FE </w:t>
      </w:r>
      <w:r>
        <w:rPr>
          <w:rFonts w:ascii="Open Sans Semibold" w:hAnsi="Open Sans Semibold"/>
          <w:b/>
          <w:color w:val="D40031"/>
        </w:rPr>
        <w:t>– </w:t>
      </w:r>
      <w:r>
        <w:rPr>
          <w:b w:val="0"/>
        </w:rPr>
        <w:t>300</w:t>
      </w:r>
      <w:r>
        <w:rPr>
          <w:rFonts w:ascii="Open Sans Semibold" w:hAnsi="Open Sans Semibold"/>
          <w:b/>
          <w:color w:val="00B795"/>
        </w:rPr>
        <w:t>)] </w:t>
      </w:r>
      <w:r>
        <w:rPr>
          <w:rFonts w:ascii="Open Sans Semibold" w:hAnsi="Open Sans Semibold"/>
          <w:b/>
          <w:color w:val="D40031"/>
        </w:rPr>
        <w:t>÷ </w:t>
      </w:r>
      <w:r>
        <w:rPr>
          <w:b w:val="0"/>
        </w:rPr>
        <w:t>3,642.4</w:t>
      </w:r>
      <w:r>
        <w:rPr>
          <w:rFonts w:ascii="Open Sans Semibold" w:hAnsi="Open Sans Semibold"/>
          <w:b/>
          <w:color w:val="00B795"/>
        </w:rPr>
        <w:t>} </w:t>
      </w:r>
      <w:r>
        <w:rPr>
          <w:rFonts w:ascii="Open Sans Semibold" w:hAnsi="Open Sans Semibold"/>
          <w:b/>
          <w:color w:val="D40031"/>
        </w:rPr>
        <w:t>– </w:t>
      </w:r>
      <w:r>
        <w:rPr>
          <w:b w:val="0"/>
        </w:rPr>
        <w:t>1 </w:t>
      </w:r>
      <w:r>
        <w:rPr>
          <w:rFonts w:ascii="Open Sans Semibold" w:hAnsi="Open Sans Semibold"/>
          <w:b/>
          <w:color w:val="D40031"/>
        </w:rPr>
        <w:t>= </w:t>
      </w:r>
      <w:r>
        <w:rPr>
          <w:b w:val="0"/>
        </w:rPr>
        <w:t>Weighting Factor</w:t>
      </w:r>
      <w:r>
        <w:rPr>
          <w:b w:val="0"/>
          <w:spacing w:val="-23"/>
        </w:rPr>
        <w:t> </w:t>
      </w:r>
      <w:r>
        <w:rPr>
          <w:b w:val="0"/>
        </w:rPr>
        <w:t>for</w:t>
      </w:r>
    </w:p>
    <w:p>
      <w:pPr>
        <w:pStyle w:val="BodyText"/>
        <w:spacing w:line="298" w:lineRule="exact"/>
        <w:ind w:left="1339"/>
        <w:rPr>
          <w:b w:val="0"/>
        </w:rPr>
      </w:pPr>
      <w:r>
        <w:rPr>
          <w:b w:val="0"/>
        </w:rPr>
        <w:t>districts with FE between 300 &amp; 1,621.9</w:t>
      </w:r>
    </w:p>
    <w:p>
      <w:pPr>
        <w:pStyle w:val="ListParagraph"/>
        <w:numPr>
          <w:ilvl w:val="1"/>
          <w:numId w:val="3"/>
        </w:numPr>
        <w:tabs>
          <w:tab w:pos="1339" w:val="left" w:leader="none"/>
          <w:tab w:pos="1340" w:val="left" w:leader="none"/>
        </w:tabs>
        <w:spacing w:line="331" w:lineRule="auto" w:before="110" w:after="0"/>
        <w:ind w:left="800" w:right="1112" w:firstLine="180"/>
        <w:jc w:val="left"/>
        <w:rPr>
          <w:b w:val="0"/>
          <w:sz w:val="22"/>
        </w:rPr>
      </w:pPr>
      <w:r>
        <w:rPr>
          <w:b w:val="0"/>
          <w:i/>
          <w:spacing w:val="-3"/>
          <w:sz w:val="23"/>
        </w:rPr>
        <w:t>1,622 </w:t>
      </w:r>
      <w:r>
        <w:rPr>
          <w:b w:val="0"/>
          <w:i/>
          <w:sz w:val="23"/>
        </w:rPr>
        <w:t>+ </w:t>
      </w:r>
      <w:r>
        <w:rPr>
          <w:b w:val="0"/>
          <w:i/>
          <w:spacing w:val="-5"/>
          <w:sz w:val="23"/>
        </w:rPr>
        <w:t>FE: </w:t>
      </w:r>
      <w:r>
        <w:rPr>
          <w:b w:val="0"/>
          <w:sz w:val="22"/>
        </w:rPr>
        <w:t>0.03504 </w:t>
      </w:r>
      <w:r>
        <w:rPr>
          <w:rFonts w:ascii="Open Sans Semibold" w:hAnsi="Open Sans Semibold"/>
          <w:b/>
          <w:color w:val="D40031"/>
          <w:sz w:val="22"/>
        </w:rPr>
        <w:t>= </w:t>
      </w:r>
      <w:r>
        <w:rPr>
          <w:b w:val="0"/>
          <w:sz w:val="22"/>
        </w:rPr>
        <w:t>Weighting Factor for districts with FE of 1,622 or</w:t>
      </w:r>
      <w:r>
        <w:rPr>
          <w:b w:val="0"/>
          <w:spacing w:val="-39"/>
          <w:sz w:val="22"/>
        </w:rPr>
        <w:t> </w:t>
      </w:r>
      <w:r>
        <w:rPr>
          <w:b w:val="0"/>
          <w:sz w:val="22"/>
        </w:rPr>
        <w:t>more Low or High Enrollment Weighted FTE </w:t>
      </w:r>
      <w:r>
        <w:rPr>
          <w:rFonts w:ascii="Open Sans Semibold" w:hAnsi="Open Sans Semibold"/>
          <w:b/>
          <w:color w:val="D40031"/>
          <w:sz w:val="22"/>
        </w:rPr>
        <w:t>= </w:t>
      </w:r>
      <w:r>
        <w:rPr>
          <w:b w:val="0"/>
          <w:sz w:val="22"/>
        </w:rPr>
        <w:t>Weighting Factor </w:t>
      </w:r>
      <w:r>
        <w:rPr>
          <w:rFonts w:ascii="Open Sans Semibold" w:hAnsi="Open Sans Semibold"/>
          <w:b/>
          <w:color w:val="D40031"/>
          <w:sz w:val="22"/>
        </w:rPr>
        <w:t>x</w:t>
      </w:r>
      <w:r>
        <w:rPr>
          <w:rFonts w:ascii="Open Sans Semibold" w:hAnsi="Open Sans Semibold"/>
          <w:b/>
          <w:color w:val="D40031"/>
          <w:spacing w:val="-9"/>
          <w:sz w:val="22"/>
        </w:rPr>
        <w:t> </w:t>
      </w:r>
      <w:r>
        <w:rPr>
          <w:b w:val="0"/>
          <w:sz w:val="22"/>
        </w:rPr>
        <w:t>FE</w:t>
      </w:r>
    </w:p>
    <w:p>
      <w:pPr>
        <w:spacing w:after="0" w:line="331" w:lineRule="auto"/>
        <w:jc w:val="left"/>
        <w:rPr>
          <w:sz w:val="22"/>
        </w:rPr>
        <w:sectPr>
          <w:headerReference w:type="default" r:id="rId24"/>
          <w:footerReference w:type="default" r:id="rId25"/>
          <w:pgSz w:w="12240" w:h="15840"/>
          <w:pgMar w:header="1007" w:footer="1148" w:top="1220" w:bottom="1340" w:left="1180" w:right="1160"/>
          <w:pgNumType w:start="8"/>
        </w:sectPr>
      </w:pPr>
    </w:p>
    <w:p>
      <w:pPr>
        <w:pStyle w:val="BodyText"/>
        <w:spacing w:before="1"/>
        <w:rPr>
          <w:b w:val="0"/>
          <w:sz w:val="19"/>
        </w:rPr>
      </w:pPr>
    </w:p>
    <w:p>
      <w:pPr>
        <w:pStyle w:val="ListParagraph"/>
        <w:numPr>
          <w:ilvl w:val="0"/>
          <w:numId w:val="3"/>
        </w:numPr>
        <w:tabs>
          <w:tab w:pos="800" w:val="left" w:leader="none"/>
          <w:tab w:pos="801" w:val="left" w:leader="none"/>
        </w:tabs>
        <w:spacing w:line="240" w:lineRule="auto" w:before="101" w:after="0"/>
        <w:ind w:left="799" w:right="384" w:hanging="360"/>
        <w:jc w:val="left"/>
        <w:rPr>
          <w:b w:val="0"/>
          <w:sz w:val="22"/>
        </w:rPr>
      </w:pPr>
      <w:r>
        <w:rPr>
          <w:rFonts w:ascii="Open Sans" w:hAnsi="Open Sans"/>
          <w:sz w:val="22"/>
          <w:u w:val="single"/>
        </w:rPr>
        <w:t>Declining Enrollment:</w:t>
      </w:r>
      <w:r>
        <w:rPr>
          <w:rFonts w:ascii="Open Sans" w:hAnsi="Open Sans"/>
          <w:sz w:val="22"/>
        </w:rPr>
        <w:t> </w:t>
      </w:r>
      <w:r>
        <w:rPr>
          <w:b w:val="0"/>
          <w:sz w:val="22"/>
        </w:rPr>
        <w:t>Per</w:t>
      </w:r>
      <w:r>
        <w:rPr>
          <w:b w:val="0"/>
          <w:color w:val="12284B"/>
          <w:sz w:val="22"/>
        </w:rPr>
        <w:t> </w:t>
      </w:r>
      <w:hyperlink r:id="rId27">
        <w:r>
          <w:rPr>
            <w:b w:val="0"/>
            <w:color w:val="12284B"/>
            <w:sz w:val="22"/>
            <w:u w:val="single" w:color="12284B"/>
          </w:rPr>
          <w:t>KSA 72-5160</w:t>
        </w:r>
        <w:r>
          <w:rPr>
            <w:b w:val="0"/>
            <w:sz w:val="22"/>
          </w:rPr>
          <w:t>, </w:t>
        </w:r>
      </w:hyperlink>
      <w:r>
        <w:rPr>
          <w:b w:val="0"/>
          <w:sz w:val="22"/>
        </w:rPr>
        <w:t>districts declining in enrollment could go before the State Board of Tax Appeals to request authority to levy additional taxes (not to</w:t>
      </w:r>
      <w:bookmarkStart w:name="Table of Contents" w:id="24"/>
      <w:bookmarkEnd w:id="24"/>
      <w:r>
        <w:rPr>
          <w:b w:val="0"/>
          <w:sz w:val="22"/>
        </w:rPr>
      </w:r>
      <w:r>
        <w:rPr>
          <w:b w:val="0"/>
          <w:sz w:val="22"/>
        </w:rPr>
        <w:t> exceed 5% of their general</w:t>
      </w:r>
      <w:r>
        <w:rPr>
          <w:b w:val="0"/>
          <w:spacing w:val="-7"/>
          <w:sz w:val="22"/>
        </w:rPr>
        <w:t> </w:t>
      </w:r>
      <w:r>
        <w:rPr>
          <w:b w:val="0"/>
          <w:sz w:val="22"/>
        </w:rPr>
        <w:t>fund).</w:t>
      </w:r>
    </w:p>
    <w:p>
      <w:pPr>
        <w:spacing w:line="298" w:lineRule="exact" w:before="0"/>
        <w:ind w:left="800" w:right="0" w:firstLine="0"/>
        <w:jc w:val="left"/>
        <w:rPr>
          <w:b w:val="0"/>
          <w:i/>
          <w:sz w:val="22"/>
        </w:rPr>
      </w:pPr>
      <w:r>
        <w:rPr>
          <w:b w:val="0"/>
          <w:i/>
          <w:sz w:val="22"/>
        </w:rPr>
        <w:t>Applicable 2005-2006 through 2017-2018 school years per </w:t>
      </w:r>
      <w:hyperlink r:id="rId28">
        <w:r>
          <w:rPr>
            <w:b w:val="0"/>
            <w:i/>
            <w:color w:val="12284B"/>
            <w:sz w:val="22"/>
            <w:u w:val="single" w:color="12284B"/>
          </w:rPr>
          <w:t>KSA 72-6451</w:t>
        </w:r>
        <w:r>
          <w:rPr>
            <w:b w:val="0"/>
            <w:i/>
            <w:sz w:val="22"/>
          </w:rPr>
          <w:t>.</w:t>
        </w:r>
      </w:hyperlink>
    </w:p>
    <w:p>
      <w:pPr>
        <w:pStyle w:val="ListParagraph"/>
        <w:numPr>
          <w:ilvl w:val="1"/>
          <w:numId w:val="3"/>
        </w:numPr>
        <w:tabs>
          <w:tab w:pos="1700" w:val="left" w:leader="none"/>
          <w:tab w:pos="1701" w:val="left" w:leader="none"/>
        </w:tabs>
        <w:spacing w:line="240" w:lineRule="auto" w:before="120" w:after="0"/>
        <w:ind w:left="1700" w:right="0" w:hanging="361"/>
        <w:jc w:val="left"/>
        <w:rPr>
          <w:b w:val="0"/>
          <w:sz w:val="22"/>
        </w:rPr>
      </w:pPr>
      <w:r>
        <w:rPr>
          <w:b w:val="0"/>
          <w:sz w:val="22"/>
        </w:rPr>
        <w:t>Declining Enrollment Weighted FTE </w:t>
      </w:r>
      <w:r>
        <w:rPr>
          <w:rFonts w:ascii="Open Sans Semibold" w:hAnsi="Open Sans Semibold"/>
          <w:b/>
          <w:color w:val="D40031"/>
          <w:sz w:val="22"/>
        </w:rPr>
        <w:t>= </w:t>
      </w:r>
      <w:r>
        <w:rPr>
          <w:b w:val="0"/>
          <w:sz w:val="22"/>
        </w:rPr>
        <w:t>Amount of Taxes Levied </w:t>
      </w:r>
      <w:r>
        <w:rPr>
          <w:rFonts w:ascii="Open Sans Semibold" w:hAnsi="Open Sans Semibold"/>
          <w:b/>
          <w:color w:val="D40031"/>
          <w:sz w:val="22"/>
        </w:rPr>
        <w:t>÷</w:t>
      </w:r>
      <w:r>
        <w:rPr>
          <w:rFonts w:ascii="Open Sans Semibold" w:hAnsi="Open Sans Semibold"/>
          <w:b/>
          <w:color w:val="12284B"/>
          <w:spacing w:val="-13"/>
          <w:sz w:val="22"/>
        </w:rPr>
        <w:t> </w:t>
      </w:r>
      <w:hyperlink w:history="true" w:anchor="_bookmark5">
        <w:r>
          <w:rPr>
            <w:b w:val="0"/>
            <w:color w:val="12284B"/>
            <w:sz w:val="22"/>
            <w:u w:val="single" w:color="12284B"/>
          </w:rPr>
          <w:t>BASE</w:t>
        </w:r>
      </w:hyperlink>
    </w:p>
    <w:p>
      <w:pPr>
        <w:pStyle w:val="ListParagraph"/>
        <w:numPr>
          <w:ilvl w:val="0"/>
          <w:numId w:val="3"/>
        </w:numPr>
        <w:tabs>
          <w:tab w:pos="800" w:val="left" w:leader="none"/>
          <w:tab w:pos="801" w:val="left" w:leader="none"/>
        </w:tabs>
        <w:spacing w:line="240" w:lineRule="auto" w:before="118" w:after="0"/>
        <w:ind w:left="800" w:right="0" w:hanging="361"/>
        <w:jc w:val="left"/>
        <w:rPr>
          <w:b w:val="0"/>
          <w:sz w:val="22"/>
        </w:rPr>
      </w:pPr>
      <w:r>
        <w:rPr>
          <w:rFonts w:ascii="Open Sans" w:hAnsi="Open Sans"/>
          <w:sz w:val="22"/>
          <w:u w:val="single"/>
        </w:rPr>
        <w:t>At-Risk:</w:t>
      </w:r>
      <w:r>
        <w:rPr>
          <w:rFonts w:ascii="Open Sans" w:hAnsi="Open Sans"/>
          <w:sz w:val="22"/>
        </w:rPr>
        <w:t> </w:t>
      </w:r>
      <w:r>
        <w:rPr>
          <w:b w:val="0"/>
          <w:sz w:val="22"/>
        </w:rPr>
        <w:t>Students who qualify for Free Lunches (At-Risk) </w:t>
      </w:r>
      <w:r>
        <w:rPr>
          <w:rFonts w:ascii="Open Sans Semibold" w:hAnsi="Open Sans Semibold"/>
          <w:b/>
          <w:color w:val="D40031"/>
          <w:position w:val="2"/>
          <w:sz w:val="22"/>
        </w:rPr>
        <w:t>x</w:t>
      </w:r>
      <w:r>
        <w:rPr>
          <w:rFonts w:ascii="Open Sans Semibold" w:hAnsi="Open Sans Semibold"/>
          <w:b/>
          <w:color w:val="D40031"/>
          <w:spacing w:val="-13"/>
          <w:position w:val="2"/>
          <w:sz w:val="22"/>
        </w:rPr>
        <w:t> </w:t>
      </w:r>
      <w:r>
        <w:rPr>
          <w:b w:val="0"/>
          <w:sz w:val="22"/>
        </w:rPr>
        <w:t>0.484</w:t>
      </w:r>
    </w:p>
    <w:p>
      <w:pPr>
        <w:pStyle w:val="ListParagraph"/>
        <w:numPr>
          <w:ilvl w:val="0"/>
          <w:numId w:val="3"/>
        </w:numPr>
        <w:tabs>
          <w:tab w:pos="800" w:val="left" w:leader="none"/>
          <w:tab w:pos="801" w:val="left" w:leader="none"/>
        </w:tabs>
        <w:spacing w:line="240" w:lineRule="auto" w:before="121" w:after="0"/>
        <w:ind w:left="800" w:right="284" w:hanging="360"/>
        <w:jc w:val="left"/>
        <w:rPr>
          <w:b w:val="0"/>
          <w:sz w:val="22"/>
        </w:rPr>
      </w:pPr>
      <w:r>
        <w:rPr>
          <w:rFonts w:ascii="Open Sans" w:hAnsi="Open Sans"/>
          <w:sz w:val="22"/>
          <w:u w:val="single"/>
        </w:rPr>
        <w:t>High Density At-Risk:</w:t>
      </w:r>
      <w:r>
        <w:rPr>
          <w:rFonts w:ascii="Open Sans" w:hAnsi="Open Sans"/>
          <w:sz w:val="22"/>
        </w:rPr>
        <w:t> </w:t>
      </w:r>
      <w:r>
        <w:rPr>
          <w:b w:val="0"/>
          <w:sz w:val="22"/>
        </w:rPr>
        <w:t>The weighting is calculated at the district level and the building level (sum of each buildings weighting) and the higher of the two is used for the districts weighted FTE.</w:t>
      </w:r>
    </w:p>
    <w:p>
      <w:pPr>
        <w:pStyle w:val="ListParagraph"/>
        <w:numPr>
          <w:ilvl w:val="1"/>
          <w:numId w:val="3"/>
        </w:numPr>
        <w:tabs>
          <w:tab w:pos="1340" w:val="left" w:leader="none"/>
          <w:tab w:pos="1341" w:val="left" w:leader="none"/>
        </w:tabs>
        <w:spacing w:line="240" w:lineRule="auto" w:before="0" w:after="0"/>
        <w:ind w:left="1340" w:right="382" w:hanging="361"/>
        <w:jc w:val="left"/>
        <w:rPr>
          <w:b w:val="0"/>
          <w:sz w:val="22"/>
        </w:rPr>
      </w:pPr>
      <w:r>
        <w:rPr>
          <w:b w:val="0"/>
          <w:sz w:val="22"/>
        </w:rPr>
        <w:t>Free Lunch Percentage (rounded to the nearest hundredth) </w:t>
      </w:r>
      <w:r>
        <w:rPr>
          <w:rFonts w:ascii="Open Sans Semibold" w:hAnsi="Open Sans Semibold"/>
          <w:b/>
          <w:color w:val="D40031"/>
          <w:sz w:val="22"/>
        </w:rPr>
        <w:t>= </w:t>
      </w:r>
      <w:r>
        <w:rPr>
          <w:b w:val="0"/>
          <w:sz w:val="22"/>
        </w:rPr>
        <w:t>Students who qualify for Free Lunches (At-Risk) </w:t>
      </w:r>
      <w:r>
        <w:rPr>
          <w:rFonts w:ascii="Open Sans Semibold" w:hAnsi="Open Sans Semibold"/>
          <w:b/>
          <w:color w:val="D40031"/>
          <w:sz w:val="22"/>
        </w:rPr>
        <w:t>÷ </w:t>
      </w:r>
      <w:r>
        <w:rPr>
          <w:b w:val="0"/>
          <w:sz w:val="22"/>
        </w:rPr>
        <w:t>Headcount Enrollment excluding virtual &amp; non-funded pre-school</w:t>
      </w:r>
      <w:r>
        <w:rPr>
          <w:b w:val="0"/>
          <w:spacing w:val="-3"/>
          <w:sz w:val="22"/>
        </w:rPr>
        <w:t> </w:t>
      </w:r>
      <w:r>
        <w:rPr>
          <w:b w:val="0"/>
          <w:sz w:val="22"/>
        </w:rPr>
        <w:t>students</w:t>
      </w:r>
    </w:p>
    <w:p>
      <w:pPr>
        <w:pStyle w:val="ListParagraph"/>
        <w:numPr>
          <w:ilvl w:val="2"/>
          <w:numId w:val="3"/>
        </w:numPr>
        <w:tabs>
          <w:tab w:pos="1880" w:val="left" w:leader="none"/>
          <w:tab w:pos="1881" w:val="left" w:leader="none"/>
        </w:tabs>
        <w:spacing w:line="240" w:lineRule="auto" w:before="0" w:after="0"/>
        <w:ind w:left="1880" w:right="833" w:hanging="360"/>
        <w:jc w:val="left"/>
        <w:rPr>
          <w:b w:val="0"/>
          <w:sz w:val="22"/>
        </w:rPr>
      </w:pPr>
      <w:r>
        <w:rPr>
          <w:b w:val="0"/>
          <w:sz w:val="22"/>
        </w:rPr>
        <w:t>If Free Lunch Percent is </w:t>
      </w:r>
      <w:r>
        <w:rPr>
          <w:b w:val="0"/>
          <w:sz w:val="22"/>
          <w:u w:val="single"/>
        </w:rPr>
        <w:t>&gt;</w:t>
      </w:r>
      <w:r>
        <w:rPr>
          <w:b w:val="0"/>
          <w:sz w:val="22"/>
        </w:rPr>
        <w:t> 35%, but &lt; 50%, then weighting is calculated as follows:</w:t>
      </w:r>
    </w:p>
    <w:p>
      <w:pPr>
        <w:pStyle w:val="ListParagraph"/>
        <w:numPr>
          <w:ilvl w:val="3"/>
          <w:numId w:val="3"/>
        </w:numPr>
        <w:tabs>
          <w:tab w:pos="2420" w:val="left" w:leader="none"/>
          <w:tab w:pos="2421" w:val="left" w:leader="none"/>
        </w:tabs>
        <w:spacing w:line="240" w:lineRule="auto" w:before="0" w:after="0"/>
        <w:ind w:left="2420" w:right="1356" w:hanging="361"/>
        <w:jc w:val="left"/>
        <w:rPr>
          <w:b w:val="0"/>
          <w:sz w:val="22"/>
        </w:rPr>
      </w:pPr>
      <w:r>
        <w:rPr>
          <w:rFonts w:ascii="Open Sans Semibold" w:hAnsi="Open Sans Semibold"/>
          <w:b/>
          <w:color w:val="00B795"/>
          <w:sz w:val="22"/>
        </w:rPr>
        <w:t>[</w:t>
      </w:r>
      <w:r>
        <w:rPr>
          <w:b w:val="0"/>
          <w:sz w:val="22"/>
        </w:rPr>
        <w:t>Students who qualify for Free Lunches (At-Risk) </w:t>
      </w:r>
      <w:r>
        <w:rPr>
          <w:rFonts w:ascii="Open Sans Semibold" w:hAnsi="Open Sans Semibold"/>
          <w:b/>
          <w:color w:val="D40031"/>
          <w:sz w:val="22"/>
        </w:rPr>
        <w:t>x </w:t>
      </w:r>
      <w:r>
        <w:rPr>
          <w:rFonts w:ascii="Open Sans Semibold" w:hAnsi="Open Sans Semibold"/>
          <w:b/>
          <w:color w:val="00B795"/>
          <w:sz w:val="22"/>
        </w:rPr>
        <w:t>(</w:t>
      </w:r>
      <w:r>
        <w:rPr>
          <w:b w:val="0"/>
          <w:sz w:val="22"/>
        </w:rPr>
        <w:t>Free Lunch Percentage </w:t>
      </w:r>
      <w:r>
        <w:rPr>
          <w:rFonts w:ascii="Open Sans Semibold" w:hAnsi="Open Sans Semibold"/>
          <w:b/>
          <w:color w:val="D40031"/>
          <w:sz w:val="22"/>
        </w:rPr>
        <w:t>– </w:t>
      </w:r>
      <w:r>
        <w:rPr>
          <w:b w:val="0"/>
          <w:sz w:val="22"/>
        </w:rPr>
        <w:t>35%</w:t>
      </w:r>
      <w:r>
        <w:rPr>
          <w:rFonts w:ascii="Open Sans Semibold" w:hAnsi="Open Sans Semibold"/>
          <w:b/>
          <w:color w:val="00B795"/>
          <w:sz w:val="22"/>
        </w:rPr>
        <w:t>) </w:t>
      </w:r>
      <w:r>
        <w:rPr>
          <w:rFonts w:ascii="Open Sans Semibold" w:hAnsi="Open Sans Semibold"/>
          <w:b/>
          <w:color w:val="D40031"/>
          <w:sz w:val="22"/>
        </w:rPr>
        <w:t>x </w:t>
      </w:r>
      <w:r>
        <w:rPr>
          <w:b w:val="0"/>
          <w:sz w:val="22"/>
        </w:rPr>
        <w:t>70% </w:t>
      </w:r>
      <w:r>
        <w:rPr>
          <w:rFonts w:ascii="Open Sans Semibold" w:hAnsi="Open Sans Semibold"/>
          <w:b/>
          <w:color w:val="D40031"/>
          <w:sz w:val="24"/>
        </w:rPr>
        <w:t>= </w:t>
      </w:r>
      <w:r>
        <w:rPr>
          <w:b w:val="0"/>
          <w:sz w:val="22"/>
        </w:rPr>
        <w:t>High Density At-Risk Weighted</w:t>
      </w:r>
      <w:r>
        <w:rPr>
          <w:b w:val="0"/>
          <w:spacing w:val="-25"/>
          <w:sz w:val="22"/>
        </w:rPr>
        <w:t> </w:t>
      </w:r>
      <w:r>
        <w:rPr>
          <w:b w:val="0"/>
          <w:sz w:val="22"/>
        </w:rPr>
        <w:t>FTE</w:t>
      </w:r>
    </w:p>
    <w:p>
      <w:pPr>
        <w:pStyle w:val="ListParagraph"/>
        <w:numPr>
          <w:ilvl w:val="2"/>
          <w:numId w:val="3"/>
        </w:numPr>
        <w:tabs>
          <w:tab w:pos="1880" w:val="left" w:leader="none"/>
          <w:tab w:pos="1881" w:val="left" w:leader="none"/>
        </w:tabs>
        <w:spacing w:line="240" w:lineRule="auto" w:before="59" w:after="0"/>
        <w:ind w:left="1880" w:right="0" w:hanging="361"/>
        <w:jc w:val="left"/>
        <w:rPr>
          <w:b w:val="0"/>
          <w:sz w:val="22"/>
        </w:rPr>
      </w:pPr>
      <w:r>
        <w:rPr>
          <w:b w:val="0"/>
          <w:sz w:val="22"/>
        </w:rPr>
        <w:t>If Free Lunch Percent is &gt; 50%, then weighting is calculated as</w:t>
      </w:r>
      <w:r>
        <w:rPr>
          <w:b w:val="0"/>
          <w:spacing w:val="-15"/>
          <w:sz w:val="22"/>
        </w:rPr>
        <w:t> </w:t>
      </w:r>
      <w:r>
        <w:rPr>
          <w:b w:val="0"/>
          <w:sz w:val="22"/>
        </w:rPr>
        <w:t>follows:</w:t>
      </w:r>
    </w:p>
    <w:p>
      <w:pPr>
        <w:pStyle w:val="ListParagraph"/>
        <w:numPr>
          <w:ilvl w:val="3"/>
          <w:numId w:val="3"/>
        </w:numPr>
        <w:tabs>
          <w:tab w:pos="2420" w:val="left" w:leader="none"/>
          <w:tab w:pos="2421" w:val="left" w:leader="none"/>
        </w:tabs>
        <w:spacing w:line="240" w:lineRule="auto" w:before="1" w:after="0"/>
        <w:ind w:left="2420" w:right="519" w:hanging="360"/>
        <w:jc w:val="left"/>
        <w:rPr>
          <w:b w:val="0"/>
          <w:sz w:val="22"/>
        </w:rPr>
      </w:pPr>
      <w:r>
        <w:rPr>
          <w:b w:val="0"/>
          <w:sz w:val="22"/>
        </w:rPr>
        <w:t>Students who qualify for Free Lunches (At-Risk) </w:t>
      </w:r>
      <w:r>
        <w:rPr>
          <w:rFonts w:ascii="Open Sans Semibold" w:hAnsi="Open Sans Semibold"/>
          <w:b/>
          <w:color w:val="D40031"/>
          <w:sz w:val="22"/>
        </w:rPr>
        <w:t>x </w:t>
      </w:r>
      <w:r>
        <w:rPr>
          <w:b w:val="0"/>
          <w:sz w:val="22"/>
        </w:rPr>
        <w:t>10.5% </w:t>
      </w:r>
      <w:r>
        <w:rPr>
          <w:rFonts w:ascii="Open Sans Semibold" w:hAnsi="Open Sans Semibold"/>
          <w:b/>
          <w:color w:val="D40031"/>
          <w:sz w:val="24"/>
        </w:rPr>
        <w:t>= </w:t>
      </w:r>
      <w:r>
        <w:rPr>
          <w:b w:val="0"/>
          <w:sz w:val="22"/>
        </w:rPr>
        <w:t>High</w:t>
      </w:r>
      <w:r>
        <w:rPr>
          <w:b w:val="0"/>
          <w:spacing w:val="-31"/>
          <w:sz w:val="22"/>
        </w:rPr>
        <w:t> </w:t>
      </w:r>
      <w:r>
        <w:rPr>
          <w:b w:val="0"/>
          <w:sz w:val="22"/>
        </w:rPr>
        <w:t>Density At-Risk Weighted</w:t>
      </w:r>
      <w:r>
        <w:rPr>
          <w:b w:val="0"/>
          <w:spacing w:val="1"/>
          <w:sz w:val="22"/>
        </w:rPr>
        <w:t> </w:t>
      </w:r>
      <w:r>
        <w:rPr>
          <w:b w:val="0"/>
          <w:sz w:val="22"/>
        </w:rPr>
        <w:t>FTE</w:t>
      </w:r>
    </w:p>
    <w:p>
      <w:pPr>
        <w:pStyle w:val="ListParagraph"/>
        <w:numPr>
          <w:ilvl w:val="0"/>
          <w:numId w:val="3"/>
        </w:numPr>
        <w:tabs>
          <w:tab w:pos="800" w:val="left" w:leader="none"/>
          <w:tab w:pos="801" w:val="left" w:leader="none"/>
        </w:tabs>
        <w:spacing w:line="240" w:lineRule="auto" w:before="117" w:after="0"/>
        <w:ind w:left="800" w:right="0" w:hanging="361"/>
        <w:jc w:val="left"/>
        <w:rPr>
          <w:b w:val="0"/>
          <w:sz w:val="22"/>
        </w:rPr>
      </w:pPr>
      <w:r>
        <w:rPr>
          <w:rFonts w:ascii="Open Sans" w:hAnsi="Open Sans"/>
          <w:sz w:val="22"/>
          <w:u w:val="single"/>
        </w:rPr>
        <w:t>Non-Proficient At-Risk:</w:t>
      </w:r>
      <w:r>
        <w:rPr>
          <w:rFonts w:ascii="Open Sans" w:hAnsi="Open Sans"/>
          <w:sz w:val="22"/>
        </w:rPr>
        <w:t> </w:t>
      </w:r>
      <w:r>
        <w:rPr>
          <w:b w:val="0"/>
          <w:sz w:val="22"/>
        </w:rPr>
        <w:t>Non-Proficient Headcount </w:t>
      </w:r>
      <w:r>
        <w:rPr>
          <w:rFonts w:ascii="Open Sans Semibold" w:hAnsi="Open Sans Semibold"/>
          <w:b/>
          <w:color w:val="D40031"/>
          <w:sz w:val="22"/>
        </w:rPr>
        <w:t>÷</w:t>
      </w:r>
      <w:r>
        <w:rPr>
          <w:rFonts w:ascii="Open Sans Semibold" w:hAnsi="Open Sans Semibold"/>
          <w:b/>
          <w:color w:val="D40031"/>
          <w:spacing w:val="-7"/>
          <w:sz w:val="22"/>
        </w:rPr>
        <w:t> </w:t>
      </w:r>
      <w:r>
        <w:rPr>
          <w:b w:val="0"/>
          <w:sz w:val="22"/>
        </w:rPr>
        <w:t>0.0465</w:t>
      </w:r>
    </w:p>
    <w:p>
      <w:pPr>
        <w:pStyle w:val="ListParagraph"/>
        <w:numPr>
          <w:ilvl w:val="1"/>
          <w:numId w:val="3"/>
        </w:numPr>
        <w:tabs>
          <w:tab w:pos="1700" w:val="left" w:leader="none"/>
          <w:tab w:pos="1701" w:val="left" w:leader="none"/>
        </w:tabs>
        <w:spacing w:line="240" w:lineRule="auto" w:before="0" w:after="0"/>
        <w:ind w:left="1700" w:right="336" w:hanging="361"/>
        <w:jc w:val="left"/>
        <w:rPr>
          <w:b w:val="0"/>
          <w:sz w:val="22"/>
        </w:rPr>
      </w:pPr>
      <w:r>
        <w:rPr>
          <w:b w:val="0"/>
          <w:sz w:val="22"/>
        </w:rPr>
        <w:t>Non-Proficient Headcount is determined by the assessed students that scored below proficient for either math or reading and self-paid or reduced-priced lunch status (excludes free lunch status students) at the time the assessment was given for the prior school year regardless of the students’ enrollment status on 9/20 of the current school</w:t>
      </w:r>
      <w:r>
        <w:rPr>
          <w:b w:val="0"/>
          <w:spacing w:val="-7"/>
          <w:sz w:val="22"/>
        </w:rPr>
        <w:t> </w:t>
      </w:r>
      <w:r>
        <w:rPr>
          <w:b w:val="0"/>
          <w:sz w:val="22"/>
        </w:rPr>
        <w:t>year).</w:t>
      </w:r>
    </w:p>
    <w:p>
      <w:pPr>
        <w:pStyle w:val="ListParagraph"/>
        <w:numPr>
          <w:ilvl w:val="1"/>
          <w:numId w:val="3"/>
        </w:numPr>
        <w:tabs>
          <w:tab w:pos="1700" w:val="left" w:leader="none"/>
          <w:tab w:pos="1701" w:val="left" w:leader="none"/>
        </w:tabs>
        <w:spacing w:line="240" w:lineRule="auto" w:before="61" w:after="0"/>
        <w:ind w:left="1700" w:right="0" w:hanging="362"/>
        <w:jc w:val="left"/>
        <w:rPr>
          <w:b w:val="0"/>
          <w:sz w:val="22"/>
        </w:rPr>
      </w:pPr>
      <w:r>
        <w:rPr>
          <w:b w:val="0"/>
          <w:sz w:val="22"/>
        </w:rPr>
        <w:t>Applicable 2007-2008 through</w:t>
      </w:r>
      <w:r>
        <w:rPr>
          <w:b w:val="0"/>
          <w:spacing w:val="-5"/>
          <w:sz w:val="22"/>
        </w:rPr>
        <w:t> </w:t>
      </w:r>
      <w:r>
        <w:rPr>
          <w:b w:val="0"/>
          <w:sz w:val="22"/>
        </w:rPr>
        <w:t>2013-2014.</w:t>
      </w:r>
    </w:p>
    <w:p>
      <w:pPr>
        <w:pStyle w:val="ListParagraph"/>
        <w:numPr>
          <w:ilvl w:val="0"/>
          <w:numId w:val="3"/>
        </w:numPr>
        <w:tabs>
          <w:tab w:pos="800" w:val="left" w:leader="none"/>
          <w:tab w:pos="801" w:val="left" w:leader="none"/>
        </w:tabs>
        <w:spacing w:line="240" w:lineRule="auto" w:before="116" w:after="0"/>
        <w:ind w:left="800" w:right="314" w:hanging="360"/>
        <w:jc w:val="left"/>
        <w:rPr>
          <w:b w:val="0"/>
          <w:sz w:val="22"/>
        </w:rPr>
      </w:pPr>
      <w:r>
        <w:rPr>
          <w:rFonts w:ascii="Open Sans" w:hAnsi="Open Sans"/>
          <w:sz w:val="22"/>
          <w:u w:val="single"/>
        </w:rPr>
        <w:t>Bilingual:</w:t>
      </w:r>
      <w:r>
        <w:rPr>
          <w:rFonts w:ascii="Open Sans" w:hAnsi="Open Sans"/>
          <w:sz w:val="22"/>
        </w:rPr>
        <w:t> </w:t>
      </w:r>
      <w:r>
        <w:rPr>
          <w:b w:val="0"/>
          <w:sz w:val="22"/>
        </w:rPr>
        <w:t>The weighting is calculated by contact hours and headcount and the higher of the two is used for the districts weighted FTE. Students must be eligible to be enrolled for bilingual services and services must be given by a qualified</w:t>
      </w:r>
      <w:r>
        <w:rPr>
          <w:b w:val="0"/>
          <w:spacing w:val="-10"/>
          <w:sz w:val="22"/>
        </w:rPr>
        <w:t> </w:t>
      </w:r>
      <w:r>
        <w:rPr>
          <w:b w:val="0"/>
          <w:sz w:val="22"/>
        </w:rPr>
        <w:t>instructor.</w:t>
      </w:r>
    </w:p>
    <w:p>
      <w:pPr>
        <w:pStyle w:val="ListParagraph"/>
        <w:numPr>
          <w:ilvl w:val="1"/>
          <w:numId w:val="3"/>
        </w:numPr>
        <w:tabs>
          <w:tab w:pos="1340" w:val="left" w:leader="none"/>
          <w:tab w:pos="1341" w:val="left" w:leader="none"/>
        </w:tabs>
        <w:spacing w:line="240" w:lineRule="auto" w:before="1" w:after="0"/>
        <w:ind w:left="1339" w:right="837" w:hanging="360"/>
        <w:jc w:val="left"/>
        <w:rPr>
          <w:b w:val="0"/>
          <w:sz w:val="22"/>
        </w:rPr>
      </w:pPr>
      <w:r>
        <w:rPr>
          <w:b w:val="0"/>
          <w:sz w:val="22"/>
        </w:rPr>
        <w:t>Bilingual Weighted FTE (contact hours) </w:t>
      </w:r>
      <w:r>
        <w:rPr>
          <w:rFonts w:ascii="Open Sans Semibold" w:hAnsi="Open Sans Semibold"/>
          <w:b/>
          <w:color w:val="D40031"/>
          <w:sz w:val="22"/>
        </w:rPr>
        <w:t>= </w:t>
      </w:r>
      <w:r>
        <w:rPr>
          <w:rFonts w:ascii="Open Sans Semibold" w:hAnsi="Open Sans Semibold"/>
          <w:b/>
          <w:color w:val="00B795"/>
          <w:sz w:val="22"/>
        </w:rPr>
        <w:t>[(</w:t>
      </w:r>
      <w:r>
        <w:rPr>
          <w:b w:val="0"/>
          <w:sz w:val="22"/>
        </w:rPr>
        <w:t>Bilingual student to teacher Contact Minutes per day </w:t>
      </w:r>
      <w:r>
        <w:rPr>
          <w:rFonts w:ascii="Open Sans Semibold" w:hAnsi="Open Sans Semibold"/>
          <w:b/>
          <w:color w:val="D40031"/>
          <w:sz w:val="22"/>
        </w:rPr>
        <w:t>÷ </w:t>
      </w:r>
      <w:r>
        <w:rPr>
          <w:b w:val="0"/>
          <w:sz w:val="22"/>
        </w:rPr>
        <w:t>60</w:t>
      </w:r>
      <w:r>
        <w:rPr>
          <w:rFonts w:ascii="Open Sans Semibold" w:hAnsi="Open Sans Semibold"/>
          <w:b/>
          <w:color w:val="00B795"/>
          <w:sz w:val="22"/>
        </w:rPr>
        <w:t>) </w:t>
      </w:r>
      <w:r>
        <w:rPr>
          <w:rFonts w:ascii="Open Sans Semibold" w:hAnsi="Open Sans Semibold"/>
          <w:b/>
          <w:color w:val="D40031"/>
          <w:sz w:val="22"/>
        </w:rPr>
        <w:t>÷ </w:t>
      </w:r>
      <w:r>
        <w:rPr>
          <w:b w:val="0"/>
          <w:sz w:val="22"/>
        </w:rPr>
        <w:t>6</w:t>
      </w:r>
      <w:r>
        <w:rPr>
          <w:rFonts w:ascii="Open Sans Semibold" w:hAnsi="Open Sans Semibold"/>
          <w:b/>
          <w:color w:val="00B795"/>
          <w:sz w:val="22"/>
        </w:rPr>
        <w:t>] </w:t>
      </w:r>
      <w:r>
        <w:rPr>
          <w:rFonts w:ascii="Open Sans Semibold" w:hAnsi="Open Sans Semibold"/>
          <w:b/>
          <w:color w:val="D40031"/>
          <w:sz w:val="22"/>
        </w:rPr>
        <w:t>x</w:t>
      </w:r>
      <w:r>
        <w:rPr>
          <w:rFonts w:ascii="Open Sans Semibold" w:hAnsi="Open Sans Semibold"/>
          <w:b/>
          <w:color w:val="D40031"/>
          <w:spacing w:val="-13"/>
          <w:sz w:val="22"/>
        </w:rPr>
        <w:t> </w:t>
      </w:r>
      <w:r>
        <w:rPr>
          <w:b w:val="0"/>
          <w:sz w:val="22"/>
        </w:rPr>
        <w:t>0.395</w:t>
      </w:r>
    </w:p>
    <w:p>
      <w:pPr>
        <w:pStyle w:val="ListParagraph"/>
        <w:numPr>
          <w:ilvl w:val="1"/>
          <w:numId w:val="3"/>
        </w:numPr>
        <w:tabs>
          <w:tab w:pos="1339" w:val="left" w:leader="none"/>
          <w:tab w:pos="1340" w:val="left" w:leader="none"/>
        </w:tabs>
        <w:spacing w:line="240" w:lineRule="auto" w:before="59" w:after="0"/>
        <w:ind w:left="1339" w:right="0" w:hanging="361"/>
        <w:jc w:val="left"/>
        <w:rPr>
          <w:b w:val="0"/>
          <w:sz w:val="22"/>
        </w:rPr>
      </w:pPr>
      <w:r>
        <w:rPr>
          <w:b w:val="0"/>
          <w:sz w:val="22"/>
        </w:rPr>
        <w:t>Bilingual Weighted FTE (headcount) </w:t>
      </w:r>
      <w:r>
        <w:rPr>
          <w:rFonts w:ascii="Open Sans Semibold" w:hAnsi="Open Sans Semibold"/>
          <w:b/>
          <w:color w:val="D40031"/>
          <w:sz w:val="22"/>
        </w:rPr>
        <w:t>= </w:t>
      </w:r>
      <w:r>
        <w:rPr>
          <w:b w:val="0"/>
          <w:sz w:val="22"/>
        </w:rPr>
        <w:t>bilingual headcount </w:t>
      </w:r>
      <w:r>
        <w:rPr>
          <w:rFonts w:ascii="Open Sans Semibold" w:hAnsi="Open Sans Semibold"/>
          <w:b/>
          <w:color w:val="D40031"/>
          <w:sz w:val="22"/>
        </w:rPr>
        <w:t>x</w:t>
      </w:r>
      <w:r>
        <w:rPr>
          <w:rFonts w:ascii="Open Sans Semibold" w:hAnsi="Open Sans Semibold"/>
          <w:b/>
          <w:color w:val="D40031"/>
          <w:spacing w:val="-13"/>
          <w:sz w:val="22"/>
        </w:rPr>
        <w:t> </w:t>
      </w:r>
      <w:r>
        <w:rPr>
          <w:b w:val="0"/>
          <w:sz w:val="22"/>
        </w:rPr>
        <w:t>0.185</w:t>
      </w:r>
    </w:p>
    <w:p>
      <w:pPr>
        <w:pStyle w:val="ListParagraph"/>
        <w:numPr>
          <w:ilvl w:val="0"/>
          <w:numId w:val="3"/>
        </w:numPr>
        <w:tabs>
          <w:tab w:pos="800" w:val="left" w:leader="none"/>
          <w:tab w:pos="801" w:val="left" w:leader="none"/>
        </w:tabs>
        <w:spacing w:line="240" w:lineRule="auto" w:before="117" w:after="0"/>
        <w:ind w:left="800" w:right="1215" w:hanging="360"/>
        <w:jc w:val="left"/>
        <w:rPr>
          <w:b w:val="0"/>
          <w:sz w:val="22"/>
        </w:rPr>
      </w:pPr>
      <w:r>
        <w:rPr>
          <w:rFonts w:ascii="Open Sans" w:hAnsi="Open Sans"/>
          <w:sz w:val="22"/>
          <w:u w:val="single"/>
        </w:rPr>
        <w:t>Career &amp; Technical Education (CTE):</w:t>
      </w:r>
      <w:r>
        <w:rPr>
          <w:rFonts w:ascii="Open Sans" w:hAnsi="Open Sans"/>
          <w:sz w:val="22"/>
        </w:rPr>
        <w:t> </w:t>
      </w:r>
      <w:r>
        <w:rPr>
          <w:b w:val="0"/>
          <w:sz w:val="22"/>
        </w:rPr>
        <w:t>To qualify, students must be enrolled in an approved CTE</w:t>
      </w:r>
      <w:r>
        <w:rPr>
          <w:b w:val="0"/>
          <w:spacing w:val="1"/>
          <w:sz w:val="22"/>
        </w:rPr>
        <w:t> </w:t>
      </w:r>
      <w:r>
        <w:rPr>
          <w:b w:val="0"/>
          <w:sz w:val="22"/>
        </w:rPr>
        <w:t>Program.</w:t>
      </w:r>
    </w:p>
    <w:p>
      <w:pPr>
        <w:pStyle w:val="ListParagraph"/>
        <w:numPr>
          <w:ilvl w:val="1"/>
          <w:numId w:val="3"/>
        </w:numPr>
        <w:tabs>
          <w:tab w:pos="1340" w:val="left" w:leader="none"/>
          <w:tab w:pos="1341" w:val="left" w:leader="none"/>
        </w:tabs>
        <w:spacing w:line="240" w:lineRule="auto" w:before="1" w:after="0"/>
        <w:ind w:left="1340" w:right="0" w:hanging="361"/>
        <w:jc w:val="left"/>
        <w:rPr>
          <w:b w:val="0"/>
          <w:sz w:val="22"/>
        </w:rPr>
      </w:pPr>
      <w:r>
        <w:rPr>
          <w:b w:val="0"/>
          <w:sz w:val="22"/>
        </w:rPr>
        <w:t>CTE Weighted FTE = </w:t>
      </w:r>
      <w:r>
        <w:rPr>
          <w:rFonts w:ascii="Open Sans Semibold" w:hAnsi="Open Sans Semibold"/>
          <w:b/>
          <w:color w:val="00B795"/>
          <w:sz w:val="22"/>
        </w:rPr>
        <w:t>[(</w:t>
      </w:r>
      <w:r>
        <w:rPr>
          <w:b w:val="0"/>
          <w:sz w:val="22"/>
        </w:rPr>
        <w:t>CTE minutes per day </w:t>
      </w:r>
      <w:r>
        <w:rPr>
          <w:rFonts w:ascii="Open Sans Semibold" w:hAnsi="Open Sans Semibold"/>
          <w:b/>
          <w:color w:val="D40031"/>
          <w:sz w:val="22"/>
        </w:rPr>
        <w:t>÷ </w:t>
      </w:r>
      <w:r>
        <w:rPr>
          <w:b w:val="0"/>
          <w:sz w:val="22"/>
        </w:rPr>
        <w:t>60</w:t>
      </w:r>
      <w:r>
        <w:rPr>
          <w:rFonts w:ascii="Open Sans Semibold" w:hAnsi="Open Sans Semibold"/>
          <w:b/>
          <w:color w:val="00B795"/>
          <w:sz w:val="22"/>
        </w:rPr>
        <w:t>) </w:t>
      </w:r>
      <w:r>
        <w:rPr>
          <w:rFonts w:ascii="Open Sans Semibold" w:hAnsi="Open Sans Semibold"/>
          <w:b/>
          <w:color w:val="D40031"/>
          <w:sz w:val="22"/>
        </w:rPr>
        <w:t>÷ </w:t>
      </w:r>
      <w:r>
        <w:rPr>
          <w:b w:val="0"/>
          <w:sz w:val="22"/>
        </w:rPr>
        <w:t>6</w:t>
      </w:r>
      <w:r>
        <w:rPr>
          <w:rFonts w:ascii="Open Sans Semibold" w:hAnsi="Open Sans Semibold"/>
          <w:b/>
          <w:color w:val="00B795"/>
          <w:sz w:val="22"/>
        </w:rPr>
        <w:t>] </w:t>
      </w:r>
      <w:r>
        <w:rPr>
          <w:rFonts w:ascii="Open Sans Semibold" w:hAnsi="Open Sans Semibold"/>
          <w:b/>
          <w:color w:val="D40031"/>
          <w:sz w:val="22"/>
        </w:rPr>
        <w:t>x</w:t>
      </w:r>
      <w:r>
        <w:rPr>
          <w:rFonts w:ascii="Open Sans Semibold" w:hAnsi="Open Sans Semibold"/>
          <w:b/>
          <w:color w:val="D40031"/>
          <w:spacing w:val="-12"/>
          <w:sz w:val="22"/>
        </w:rPr>
        <w:t> </w:t>
      </w:r>
      <w:r>
        <w:rPr>
          <w:b w:val="0"/>
          <w:sz w:val="22"/>
        </w:rPr>
        <w:t>0.5</w:t>
      </w:r>
    </w:p>
    <w:p>
      <w:pPr>
        <w:spacing w:after="0" w:line="240" w:lineRule="auto"/>
        <w:jc w:val="left"/>
        <w:rPr>
          <w:sz w:val="22"/>
        </w:rPr>
        <w:sectPr>
          <w:pgSz w:w="12240" w:h="15840"/>
          <w:pgMar w:header="1007" w:footer="1148" w:top="1220" w:bottom="1340" w:left="1180" w:right="1160"/>
        </w:sectPr>
      </w:pPr>
    </w:p>
    <w:p>
      <w:pPr>
        <w:pStyle w:val="BodyText"/>
        <w:spacing w:before="1"/>
        <w:rPr>
          <w:b w:val="0"/>
          <w:sz w:val="19"/>
        </w:rPr>
      </w:pPr>
    </w:p>
    <w:p>
      <w:pPr>
        <w:pStyle w:val="ListParagraph"/>
        <w:numPr>
          <w:ilvl w:val="0"/>
          <w:numId w:val="3"/>
        </w:numPr>
        <w:tabs>
          <w:tab w:pos="800" w:val="left" w:leader="none"/>
          <w:tab w:pos="801" w:val="left" w:leader="none"/>
        </w:tabs>
        <w:spacing w:line="240" w:lineRule="auto" w:before="101" w:after="0"/>
        <w:ind w:left="799" w:right="316" w:hanging="360"/>
        <w:jc w:val="left"/>
        <w:rPr>
          <w:b w:val="0"/>
          <w:sz w:val="22"/>
        </w:rPr>
      </w:pPr>
      <w:r>
        <w:rPr>
          <w:rFonts w:ascii="Open Sans" w:hAnsi="Open Sans"/>
          <w:sz w:val="22"/>
          <w:u w:val="single"/>
        </w:rPr>
        <w:t>School Facilities (new facilities):</w:t>
      </w:r>
      <w:r>
        <w:rPr>
          <w:rFonts w:ascii="Open Sans" w:hAnsi="Open Sans"/>
          <w:sz w:val="22"/>
        </w:rPr>
        <w:t> </w:t>
      </w:r>
      <w:r>
        <w:rPr>
          <w:b w:val="0"/>
          <w:sz w:val="22"/>
        </w:rPr>
        <w:t>districts are eligible for this weighting on the first two years of a facility if they have a 25% LOB and documentation the facility was paid for from bonds authorized before 7-1-2015. USD 207 &amp; 475 are also eligible to use this weighting if the facility was built primarily with federal funds on military</w:t>
      </w:r>
      <w:r>
        <w:rPr>
          <w:b w:val="0"/>
          <w:spacing w:val="-19"/>
          <w:sz w:val="22"/>
        </w:rPr>
        <w:t> </w:t>
      </w:r>
      <w:r>
        <w:rPr>
          <w:b w:val="0"/>
          <w:sz w:val="22"/>
        </w:rPr>
        <w:t>installations.</w:t>
      </w:r>
    </w:p>
    <w:p>
      <w:pPr>
        <w:pStyle w:val="BodyText"/>
        <w:spacing w:before="120"/>
        <w:ind w:left="800"/>
        <w:rPr>
          <w:b w:val="0"/>
        </w:rPr>
      </w:pPr>
      <w:r>
        <w:rPr>
          <w:b w:val="0"/>
        </w:rPr>
        <w:t>FTE Enrollment at facility (current year) </w:t>
      </w:r>
      <w:r>
        <w:rPr>
          <w:rFonts w:ascii="Open Sans Semibold"/>
          <w:b/>
          <w:color w:val="D40031"/>
        </w:rPr>
        <w:t>x </w:t>
      </w:r>
      <w:r>
        <w:rPr>
          <w:b w:val="0"/>
        </w:rPr>
        <w:t>25% </w:t>
      </w:r>
      <w:r>
        <w:rPr>
          <w:rFonts w:ascii="Open Sans Semibold"/>
          <w:b/>
          <w:color w:val="D40031"/>
          <w:sz w:val="28"/>
        </w:rPr>
        <w:t>= </w:t>
      </w:r>
      <w:r>
        <w:rPr>
          <w:b w:val="0"/>
        </w:rPr>
        <w:t>School Facilities Weighted FTE</w:t>
      </w:r>
    </w:p>
    <w:p>
      <w:pPr>
        <w:pStyle w:val="ListParagraph"/>
        <w:numPr>
          <w:ilvl w:val="0"/>
          <w:numId w:val="3"/>
        </w:numPr>
        <w:tabs>
          <w:tab w:pos="800" w:val="left" w:leader="none"/>
          <w:tab w:pos="801" w:val="left" w:leader="none"/>
        </w:tabs>
        <w:spacing w:line="240" w:lineRule="auto" w:before="119" w:after="0"/>
        <w:ind w:left="800" w:right="600" w:hanging="360"/>
        <w:jc w:val="left"/>
        <w:rPr>
          <w:b w:val="0"/>
          <w:sz w:val="22"/>
        </w:rPr>
      </w:pPr>
      <w:r>
        <w:rPr>
          <w:rFonts w:ascii="Open Sans" w:hAnsi="Open Sans"/>
          <w:sz w:val="22"/>
          <w:u w:val="single"/>
        </w:rPr>
        <w:t>Ancillary Facilities:</w:t>
      </w:r>
      <w:r>
        <w:rPr>
          <w:rFonts w:ascii="Open Sans" w:hAnsi="Open Sans"/>
          <w:sz w:val="22"/>
        </w:rPr>
        <w:t> </w:t>
      </w:r>
      <w:r>
        <w:rPr>
          <w:b w:val="0"/>
          <w:sz w:val="22"/>
        </w:rPr>
        <w:t>districts are only eligible if they levied a tax under</w:t>
      </w:r>
      <w:r>
        <w:rPr>
          <w:b w:val="0"/>
          <w:color w:val="12284B"/>
          <w:sz w:val="22"/>
        </w:rPr>
        <w:t> </w:t>
      </w:r>
      <w:hyperlink r:id="rId29">
        <w:r>
          <w:rPr>
            <w:b w:val="0"/>
            <w:color w:val="12284B"/>
            <w:sz w:val="22"/>
            <w:u w:val="single" w:color="12284B"/>
          </w:rPr>
          <w:t>KSA 72-5158</w:t>
        </w:r>
        <w:r>
          <w:rPr>
            <w:b w:val="0"/>
            <w:color w:val="12284B"/>
            <w:sz w:val="22"/>
          </w:rPr>
          <w:t> </w:t>
        </w:r>
      </w:hyperlink>
      <w:r>
        <w:rPr>
          <w:b w:val="0"/>
          <w:sz w:val="22"/>
        </w:rPr>
        <w:t>and remitted proceeds from such tax to the state</w:t>
      </w:r>
      <w:r>
        <w:rPr>
          <w:b w:val="0"/>
          <w:spacing w:val="-11"/>
          <w:sz w:val="22"/>
        </w:rPr>
        <w:t> </w:t>
      </w:r>
      <w:r>
        <w:rPr>
          <w:b w:val="0"/>
          <w:sz w:val="22"/>
        </w:rPr>
        <w:t>treasurer.</w:t>
      </w:r>
    </w:p>
    <w:p>
      <w:pPr>
        <w:pStyle w:val="ListParagraph"/>
        <w:numPr>
          <w:ilvl w:val="1"/>
          <w:numId w:val="3"/>
        </w:numPr>
        <w:tabs>
          <w:tab w:pos="1251" w:val="left" w:leader="none"/>
          <w:tab w:pos="1252" w:val="left" w:leader="none"/>
        </w:tabs>
        <w:spacing w:line="240" w:lineRule="auto" w:before="0" w:after="0"/>
        <w:ind w:left="1251" w:right="1005" w:hanging="361"/>
        <w:jc w:val="left"/>
        <w:rPr>
          <w:b w:val="0"/>
          <w:sz w:val="22"/>
        </w:rPr>
      </w:pPr>
      <w:r>
        <w:rPr>
          <w:b w:val="0"/>
          <w:sz w:val="22"/>
        </w:rPr>
        <w:t>Ancillary Facilities Weighted FTE </w:t>
      </w:r>
      <w:r>
        <w:rPr>
          <w:rFonts w:ascii="Open Sans Semibold" w:hAnsi="Open Sans Semibold"/>
          <w:b/>
          <w:color w:val="D40031"/>
          <w:sz w:val="22"/>
        </w:rPr>
        <w:t>= </w:t>
      </w:r>
      <w:r>
        <w:rPr>
          <w:b w:val="0"/>
          <w:sz w:val="22"/>
        </w:rPr>
        <w:t>Amount produced by tax levy in year two as certified by the State Board of Tax Appeals </w:t>
      </w:r>
      <w:r>
        <w:rPr>
          <w:rFonts w:ascii="Open Sans Semibold" w:hAnsi="Open Sans Semibold"/>
          <w:b/>
          <w:color w:val="D40031"/>
          <w:sz w:val="22"/>
        </w:rPr>
        <w:t>÷</w:t>
      </w:r>
      <w:r>
        <w:rPr>
          <w:rFonts w:ascii="Open Sans Semibold" w:hAnsi="Open Sans Semibold"/>
          <w:b/>
          <w:color w:val="12284B"/>
          <w:spacing w:val="-9"/>
          <w:sz w:val="22"/>
        </w:rPr>
        <w:t> </w:t>
      </w:r>
      <w:hyperlink w:history="true" w:anchor="_bookmark5">
        <w:r>
          <w:rPr>
            <w:b w:val="0"/>
            <w:color w:val="12284B"/>
            <w:sz w:val="22"/>
            <w:u w:val="single" w:color="12284B"/>
          </w:rPr>
          <w:t>BASE</w:t>
        </w:r>
      </w:hyperlink>
    </w:p>
    <w:p>
      <w:pPr>
        <w:pStyle w:val="ListParagraph"/>
        <w:numPr>
          <w:ilvl w:val="0"/>
          <w:numId w:val="3"/>
        </w:numPr>
        <w:tabs>
          <w:tab w:pos="800" w:val="left" w:leader="none"/>
          <w:tab w:pos="801" w:val="left" w:leader="none"/>
        </w:tabs>
        <w:spacing w:line="240" w:lineRule="auto" w:before="118" w:after="0"/>
        <w:ind w:left="800" w:right="349" w:hanging="360"/>
        <w:jc w:val="left"/>
        <w:rPr>
          <w:b w:val="0"/>
          <w:sz w:val="22"/>
        </w:rPr>
      </w:pPr>
      <w:r>
        <w:rPr>
          <w:rFonts w:ascii="Open Sans" w:hAnsi="Open Sans"/>
          <w:sz w:val="22"/>
          <w:u w:val="single"/>
        </w:rPr>
        <w:t>Cost of Living:</w:t>
      </w:r>
      <w:r>
        <w:rPr>
          <w:rFonts w:ascii="Open Sans" w:hAnsi="Open Sans"/>
          <w:sz w:val="22"/>
        </w:rPr>
        <w:t> </w:t>
      </w:r>
      <w:r>
        <w:rPr>
          <w:b w:val="0"/>
          <w:sz w:val="22"/>
        </w:rPr>
        <w:t>per</w:t>
      </w:r>
      <w:r>
        <w:rPr>
          <w:b w:val="0"/>
          <w:color w:val="12284B"/>
          <w:sz w:val="22"/>
        </w:rPr>
        <w:t> </w:t>
      </w:r>
      <w:hyperlink r:id="rId30">
        <w:r>
          <w:rPr>
            <w:b w:val="0"/>
            <w:color w:val="12284B"/>
            <w:sz w:val="22"/>
            <w:u w:val="single" w:color="12284B"/>
          </w:rPr>
          <w:t>KSA 72-5159</w:t>
        </w:r>
        <w:r>
          <w:rPr>
            <w:b w:val="0"/>
            <w:sz w:val="22"/>
          </w:rPr>
          <w:t>, </w:t>
        </w:r>
      </w:hyperlink>
      <w:r>
        <w:rPr>
          <w:b w:val="0"/>
          <w:sz w:val="22"/>
        </w:rPr>
        <w:t>districts are only eligible if their average appraised value of single family residences is 25% more than the statewide average appraised value of single family residences for the calendar year preceding the current school year (i.e. 2020-2021 School Year uses the appraised value of single-family residences for January through December</w:t>
      </w:r>
      <w:r>
        <w:rPr>
          <w:b w:val="0"/>
          <w:spacing w:val="-1"/>
          <w:sz w:val="22"/>
        </w:rPr>
        <w:t> </w:t>
      </w:r>
      <w:r>
        <w:rPr>
          <w:b w:val="0"/>
          <w:sz w:val="22"/>
        </w:rPr>
        <w:t>2020).</w:t>
      </w:r>
    </w:p>
    <w:p>
      <w:pPr>
        <w:pStyle w:val="BodyText"/>
        <w:spacing w:before="120"/>
        <w:ind w:left="800"/>
        <w:rPr>
          <w:b w:val="0"/>
        </w:rPr>
      </w:pPr>
      <w:r>
        <w:rPr>
          <w:b w:val="0"/>
        </w:rPr>
        <w:t>Cost of Living Weighted FTE is calculated as follows:</w:t>
      </w:r>
    </w:p>
    <w:p>
      <w:pPr>
        <w:pStyle w:val="ListParagraph"/>
        <w:numPr>
          <w:ilvl w:val="1"/>
          <w:numId w:val="3"/>
        </w:numPr>
        <w:tabs>
          <w:tab w:pos="1339" w:val="left" w:leader="none"/>
          <w:tab w:pos="1341" w:val="left" w:leader="none"/>
        </w:tabs>
        <w:spacing w:line="301" w:lineRule="exact" w:before="0" w:after="0"/>
        <w:ind w:left="1340" w:right="0" w:hanging="362"/>
        <w:jc w:val="left"/>
        <w:rPr>
          <w:rFonts w:ascii="Open Sans Semibold" w:hAnsi="Open Sans Semibold"/>
          <w:b/>
          <w:sz w:val="22"/>
        </w:rPr>
      </w:pPr>
      <w:r>
        <w:rPr>
          <w:rFonts w:ascii="Open Sans Semibold" w:hAnsi="Open Sans Semibold"/>
          <w:b/>
          <w:color w:val="00B795"/>
          <w:sz w:val="22"/>
        </w:rPr>
        <w:t>(</w:t>
      </w:r>
      <w:r>
        <w:rPr>
          <w:b w:val="0"/>
          <w:sz w:val="22"/>
        </w:rPr>
        <w:t>State Foundation Aid for the current year (not including Cost of Living State Aid)</w:t>
      </w:r>
      <w:r>
        <w:rPr>
          <w:b w:val="0"/>
          <w:spacing w:val="-24"/>
          <w:sz w:val="22"/>
        </w:rPr>
        <w:t> </w:t>
      </w:r>
      <w:r>
        <w:rPr>
          <w:rFonts w:ascii="Open Sans Semibold" w:hAnsi="Open Sans Semibold"/>
          <w:b/>
          <w:color w:val="D40031"/>
          <w:sz w:val="22"/>
        </w:rPr>
        <w:t>x</w:t>
      </w:r>
    </w:p>
    <w:p>
      <w:pPr>
        <w:pStyle w:val="BodyText"/>
        <w:spacing w:line="299" w:lineRule="exact"/>
        <w:ind w:left="1339"/>
        <w:rPr>
          <w:b w:val="0"/>
        </w:rPr>
      </w:pPr>
      <w:r>
        <w:rPr>
          <w:b w:val="0"/>
        </w:rPr>
        <w:t>the lesser of A or B below</w:t>
      </w:r>
      <w:r>
        <w:rPr>
          <w:rFonts w:ascii="Open Sans Semibold" w:hAnsi="Open Sans Semibold"/>
          <w:b/>
          <w:color w:val="00B795"/>
        </w:rPr>
        <w:t>) </w:t>
      </w:r>
      <w:r>
        <w:rPr>
          <w:rFonts w:ascii="Open Sans Semibold" w:hAnsi="Open Sans Semibold"/>
          <w:b/>
          <w:color w:val="D40031"/>
        </w:rPr>
        <w:t>÷ </w:t>
      </w:r>
      <w:r>
        <w:rPr>
          <w:b w:val="0"/>
        </w:rPr>
        <w:t>current year </w:t>
      </w:r>
      <w:hyperlink w:history="true" w:anchor="_bookmark5">
        <w:r>
          <w:rPr>
            <w:b w:val="0"/>
            <w:color w:val="12284B"/>
            <w:u w:val="single" w:color="12284B"/>
          </w:rPr>
          <w:t>BASE</w:t>
        </w:r>
        <w:r>
          <w:rPr>
            <w:b w:val="0"/>
          </w:rPr>
          <w:t>:</w:t>
        </w:r>
      </w:hyperlink>
    </w:p>
    <w:p>
      <w:pPr>
        <w:pStyle w:val="BodyText"/>
        <w:ind w:left="1520"/>
        <w:rPr>
          <w:b w:val="0"/>
        </w:rPr>
      </w:pPr>
      <w:r>
        <w:rPr>
          <w:b w:val="0"/>
        </w:rPr>
        <w:t>A. 0.05</w:t>
      </w:r>
    </w:p>
    <w:p>
      <w:pPr>
        <w:pStyle w:val="BodyText"/>
        <w:spacing w:before="61"/>
        <w:ind w:left="1880" w:right="638" w:hanging="361"/>
        <w:rPr>
          <w:b w:val="0"/>
        </w:rPr>
      </w:pPr>
      <w:r>
        <w:rPr>
          <w:b w:val="0"/>
        </w:rPr>
        <w:t>B. </w:t>
      </w:r>
      <w:r>
        <w:rPr>
          <w:rFonts w:ascii="Open Sans Semibold" w:hAnsi="Open Sans Semibold"/>
          <w:b/>
          <w:color w:val="00B795"/>
        </w:rPr>
        <w:t>{[</w:t>
      </w:r>
      <w:r>
        <w:rPr>
          <w:b w:val="0"/>
        </w:rPr>
        <w:t>Average appraised value of single-family residences in district </w:t>
      </w:r>
      <w:r>
        <w:rPr>
          <w:rFonts w:ascii="Open Sans Semibold" w:hAnsi="Open Sans Semibold"/>
          <w:b/>
          <w:color w:val="D40031"/>
        </w:rPr>
        <w:t>- </w:t>
      </w:r>
      <w:r>
        <w:rPr>
          <w:rFonts w:ascii="Open Sans Semibold" w:hAnsi="Open Sans Semibold"/>
          <w:b/>
          <w:color w:val="00B795"/>
        </w:rPr>
        <w:t>(</w:t>
      </w:r>
      <w:r>
        <w:rPr>
          <w:b w:val="0"/>
        </w:rPr>
        <w:t>average appraised value of since family residences in state </w:t>
      </w:r>
      <w:r>
        <w:rPr>
          <w:rFonts w:ascii="Open Sans Semibold" w:hAnsi="Open Sans Semibold"/>
          <w:b/>
          <w:color w:val="D40031"/>
        </w:rPr>
        <w:t>x </w:t>
      </w:r>
      <w:r>
        <w:rPr>
          <w:b w:val="0"/>
        </w:rPr>
        <w:t>1.25</w:t>
      </w:r>
      <w:r>
        <w:rPr>
          <w:rFonts w:ascii="Open Sans Semibold" w:hAnsi="Open Sans Semibold"/>
          <w:b/>
          <w:color w:val="00B795"/>
        </w:rPr>
        <w:t>)] </w:t>
      </w:r>
      <w:r>
        <w:rPr>
          <w:rFonts w:ascii="Open Sans Semibold" w:hAnsi="Open Sans Semibold"/>
          <w:b/>
          <w:color w:val="D40031"/>
        </w:rPr>
        <w:t>÷ </w:t>
      </w:r>
      <w:r>
        <w:rPr>
          <w:b w:val="0"/>
        </w:rPr>
        <w:t>(average appraised value of since family residences in state </w:t>
      </w:r>
      <w:r>
        <w:rPr>
          <w:rFonts w:ascii="Open Sans Semibold" w:hAnsi="Open Sans Semibold"/>
          <w:b/>
          <w:color w:val="D40031"/>
        </w:rPr>
        <w:t>x </w:t>
      </w:r>
      <w:r>
        <w:rPr>
          <w:b w:val="0"/>
        </w:rPr>
        <w:t>1.25</w:t>
      </w:r>
      <w:r>
        <w:rPr>
          <w:rFonts w:ascii="Open Sans Semibold" w:hAnsi="Open Sans Semibold"/>
          <w:b/>
          <w:color w:val="00B795"/>
        </w:rPr>
        <w:t>)} </w:t>
      </w:r>
      <w:r>
        <w:rPr>
          <w:rFonts w:ascii="Open Sans Semibold" w:hAnsi="Open Sans Semibold"/>
          <w:b/>
          <w:color w:val="D40031"/>
        </w:rPr>
        <w:t>x </w:t>
      </w:r>
      <w:r>
        <w:rPr>
          <w:b w:val="0"/>
        </w:rPr>
        <w:t>0.095</w:t>
      </w:r>
    </w:p>
    <w:p>
      <w:pPr>
        <w:pStyle w:val="ListParagraph"/>
        <w:numPr>
          <w:ilvl w:val="0"/>
          <w:numId w:val="3"/>
        </w:numPr>
        <w:tabs>
          <w:tab w:pos="800" w:val="left" w:leader="none"/>
          <w:tab w:pos="801" w:val="left" w:leader="none"/>
        </w:tabs>
        <w:spacing w:line="240" w:lineRule="auto" w:before="118" w:after="0"/>
        <w:ind w:left="800" w:right="0" w:hanging="361"/>
        <w:jc w:val="left"/>
        <w:rPr>
          <w:b w:val="0"/>
          <w:sz w:val="22"/>
        </w:rPr>
      </w:pPr>
      <w:bookmarkStart w:name="_bookmark15" w:id="25"/>
      <w:bookmarkEnd w:id="25"/>
      <w:r>
        <w:rPr/>
      </w:r>
      <w:bookmarkStart w:name="_bookmark15" w:id="26"/>
      <w:bookmarkEnd w:id="26"/>
      <w:r>
        <w:rPr>
          <w:rFonts w:ascii="Open Sans" w:hAnsi="Open Sans"/>
          <w:sz w:val="22"/>
          <w:u w:val="single"/>
        </w:rPr>
        <w:t>S</w:t>
      </w:r>
      <w:r>
        <w:rPr>
          <w:rFonts w:ascii="Open Sans" w:hAnsi="Open Sans"/>
          <w:sz w:val="22"/>
          <w:u w:val="single"/>
        </w:rPr>
        <w:t>pecial Education:</w:t>
      </w:r>
      <w:r>
        <w:rPr>
          <w:rFonts w:ascii="Open Sans" w:hAnsi="Open Sans"/>
          <w:sz w:val="22"/>
        </w:rPr>
        <w:t> </w:t>
      </w:r>
      <w:hyperlink w:history="true" w:anchor="_bookmark17">
        <w:r>
          <w:rPr>
            <w:b w:val="0"/>
            <w:sz w:val="22"/>
          </w:rPr>
          <w:t>current year Special Education State Aid </w:t>
        </w:r>
      </w:hyperlink>
      <w:r>
        <w:rPr>
          <w:rFonts w:ascii="Open Sans Semibold" w:hAnsi="Open Sans Semibold"/>
          <w:b/>
          <w:color w:val="D40031"/>
          <w:sz w:val="22"/>
        </w:rPr>
        <w:t>÷</w:t>
      </w:r>
      <w:hyperlink w:history="true" w:anchor="_bookmark5">
        <w:r>
          <w:rPr>
            <w:rFonts w:ascii="Open Sans Semibold" w:hAnsi="Open Sans Semibold"/>
            <w:b/>
            <w:color w:val="12284B"/>
            <w:spacing w:val="-8"/>
            <w:sz w:val="22"/>
          </w:rPr>
          <w:t> </w:t>
        </w:r>
        <w:r>
          <w:rPr>
            <w:b w:val="0"/>
            <w:color w:val="12284B"/>
            <w:sz w:val="22"/>
            <w:u w:val="single" w:color="12284B"/>
          </w:rPr>
          <w:t>BASE</w:t>
        </w:r>
      </w:hyperlink>
    </w:p>
    <w:p>
      <w:pPr>
        <w:spacing w:after="0" w:line="240" w:lineRule="auto"/>
        <w:jc w:val="left"/>
        <w:rPr>
          <w:sz w:val="22"/>
        </w:rPr>
        <w:sectPr>
          <w:pgSz w:w="12240" w:h="15840"/>
          <w:pgMar w:header="1007" w:footer="1148" w:top="1220" w:bottom="1340" w:left="1180" w:right="1160"/>
        </w:sectPr>
      </w:pPr>
    </w:p>
    <w:p>
      <w:pPr>
        <w:pStyle w:val="BodyText"/>
        <w:spacing w:before="2"/>
        <w:rPr>
          <w:b w:val="0"/>
          <w:sz w:val="19"/>
        </w:rPr>
      </w:pPr>
    </w:p>
    <w:p>
      <w:pPr>
        <w:pStyle w:val="Heading1"/>
      </w:pPr>
      <w:bookmarkStart w:name="State Foundation (General State) Aid" w:id="27"/>
      <w:bookmarkEnd w:id="27"/>
      <w:r>
        <w:rPr>
          <w:b w:val="0"/>
        </w:rPr>
      </w:r>
      <w:bookmarkStart w:name="_bookmark16" w:id="28"/>
      <w:bookmarkEnd w:id="28"/>
      <w:r>
        <w:rPr>
          <w:b w:val="0"/>
        </w:rPr>
      </w:r>
      <w:r>
        <w:rPr>
          <w:color w:val="12284B"/>
        </w:rPr>
        <w:t>State Foundation (General State) Aid</w:t>
      </w:r>
    </w:p>
    <w:p>
      <w:pPr>
        <w:pStyle w:val="BodyText"/>
        <w:spacing w:before="359"/>
        <w:ind w:left="259" w:right="368"/>
        <w:rPr>
          <w:b w:val="0"/>
        </w:rPr>
      </w:pPr>
      <w:r>
        <w:rPr>
          <w:b w:val="0"/>
        </w:rPr>
        <w:t>State Foundation Aid paid to the districts during the school year. Prior to the 2014-2015 school year, some districts did not qualify for this aid if their local revenue matched or exceeded their legal maximum budget. General state aid money is to be placed in the general fund.</w:t>
      </w:r>
    </w:p>
    <w:p>
      <w:pPr>
        <w:pStyle w:val="BodyText"/>
        <w:spacing w:before="119"/>
        <w:ind w:left="260" w:right="712"/>
        <w:rPr>
          <w:b w:val="0"/>
        </w:rPr>
      </w:pPr>
      <w:r>
        <w:rPr>
          <w:b w:val="0"/>
        </w:rPr>
        <w:t>Beginning with the 2014-2015 school year per </w:t>
      </w:r>
      <w:hyperlink r:id="rId33">
        <w:r>
          <w:rPr>
            <w:b w:val="0"/>
            <w:color w:val="12284B"/>
            <w:u w:val="single" w:color="12284B"/>
          </w:rPr>
          <w:t>KSA 75-5142</w:t>
        </w:r>
        <w:r>
          <w:rPr>
            <w:b w:val="0"/>
          </w:rPr>
          <w:t>, </w:t>
        </w:r>
      </w:hyperlink>
      <w:r>
        <w:rPr>
          <w:b w:val="0"/>
        </w:rPr>
        <w:t>counties are to send in the 20 mills (ad valorem) generated for the General Fund to the State Treasurer in order to be redistributed as general state aid.</w:t>
      </w:r>
    </w:p>
    <w:p>
      <w:pPr>
        <w:pStyle w:val="BodyText"/>
        <w:spacing w:before="9"/>
        <w:rPr>
          <w:b w:val="0"/>
          <w:sz w:val="23"/>
        </w:rPr>
      </w:pPr>
      <w:r>
        <w:rPr/>
        <w:pict>
          <v:shape style="position:absolute;margin-left:69pt;margin-top:18.323818pt;width:472.45pt;height:.1pt;mso-position-horizontal-relative:page;mso-position-vertical-relative:paragraph;z-index:-251650048;mso-wrap-distance-left:0;mso-wrap-distance-right:0" coordorigin="1380,366" coordsize="9449,0" path="m1380,366l10829,366e" filled="false" stroked="true" strokeweight=".48pt" strokecolor="#ffa300">
            <v:path arrowok="t"/>
            <v:stroke dashstyle="solid"/>
            <w10:wrap type="topAndBottom"/>
          </v:shape>
        </w:pict>
      </w:r>
    </w:p>
    <w:p>
      <w:pPr>
        <w:pStyle w:val="BodyText"/>
        <w:tabs>
          <w:tab w:pos="1519" w:val="left" w:leader="none"/>
        </w:tabs>
        <w:spacing w:before="170"/>
        <w:ind w:left="1520" w:right="690" w:hanging="1292"/>
        <w:rPr>
          <w:b w:val="0"/>
        </w:rPr>
      </w:pPr>
      <w:r>
        <w:rPr>
          <w:b w:val="0"/>
          <w:color w:val="005486"/>
        </w:rPr>
        <w:t>Note:</w:t>
        <w:tab/>
        <w:t>In 2017-2018, Senate Bill 25 referred to General State Aid as State Foundation Aid.</w:t>
      </w:r>
    </w:p>
    <w:p>
      <w:pPr>
        <w:pStyle w:val="BodyText"/>
        <w:spacing w:before="13"/>
        <w:rPr>
          <w:b w:val="0"/>
          <w:sz w:val="11"/>
        </w:rPr>
      </w:pPr>
      <w:r>
        <w:rPr/>
        <w:pict>
          <v:shape style="position:absolute;margin-left:69pt;margin-top:10.359539pt;width:472.45pt;height:.1pt;mso-position-horizontal-relative:page;mso-position-vertical-relative:paragraph;z-index:-251649024;mso-wrap-distance-left:0;mso-wrap-distance-right:0" coordorigin="1380,207" coordsize="9449,0" path="m1380,207l10829,207e" filled="false" stroked="true" strokeweight=".481pt" strokecolor="#ffa300">
            <v:path arrowok="t"/>
            <v:stroke dashstyle="solid"/>
            <w10:wrap type="topAndBottom"/>
          </v:shape>
        </w:pict>
      </w:r>
    </w:p>
    <w:p>
      <w:pPr>
        <w:pStyle w:val="BodyText"/>
        <w:spacing w:before="11"/>
        <w:rPr>
          <w:b w:val="0"/>
          <w:sz w:val="16"/>
        </w:rPr>
      </w:pPr>
    </w:p>
    <w:p>
      <w:pPr>
        <w:pStyle w:val="Heading2"/>
        <w:rPr>
          <w:b/>
        </w:rPr>
      </w:pPr>
      <w:bookmarkStart w:name="Special Education" w:id="29"/>
      <w:bookmarkEnd w:id="29"/>
      <w:r>
        <w:rPr/>
      </w:r>
      <w:bookmarkStart w:name="_bookmark17" w:id="30"/>
      <w:bookmarkEnd w:id="30"/>
      <w:r>
        <w:rPr/>
      </w:r>
      <w:r>
        <w:rPr>
          <w:b/>
        </w:rPr>
        <w:t>Special Education</w:t>
      </w:r>
    </w:p>
    <w:p>
      <w:pPr>
        <w:pStyle w:val="BodyText"/>
        <w:spacing w:before="238"/>
        <w:ind w:left="260" w:right="638"/>
        <w:rPr>
          <w:b w:val="0"/>
        </w:rPr>
      </w:pPr>
      <w:r>
        <w:rPr>
          <w:b w:val="0"/>
        </w:rPr>
        <w:t>Special education state aid paid to the districts during the school year. Per </w:t>
      </w:r>
      <w:hyperlink r:id="rId34">
        <w:r>
          <w:rPr>
            <w:b w:val="0"/>
            <w:color w:val="12284B"/>
            <w:u w:val="single" w:color="12284B"/>
          </w:rPr>
          <w:t>KSA 72-3422</w:t>
        </w:r>
        <w:r>
          <w:rPr>
            <w:b w:val="0"/>
          </w:rPr>
          <w:t>, </w:t>
        </w:r>
      </w:hyperlink>
      <w:r>
        <w:rPr>
          <w:b w:val="0"/>
        </w:rPr>
        <w:t>all special education state aid is to be distributed among school districts that participate in a Special Education Cooperative or Interlocal and deposited in the general fund of the school district.</w:t>
      </w:r>
    </w:p>
    <w:p>
      <w:pPr>
        <w:pStyle w:val="BodyText"/>
        <w:spacing w:before="7"/>
        <w:rPr>
          <w:b w:val="0"/>
          <w:sz w:val="26"/>
        </w:rPr>
      </w:pPr>
    </w:p>
    <w:p>
      <w:pPr>
        <w:pStyle w:val="Heading2"/>
        <w:spacing w:before="0"/>
        <w:rPr>
          <w:b/>
        </w:rPr>
      </w:pPr>
      <w:bookmarkStart w:name="ARRA Stabilization &amp; Ed Job Funds" w:id="31"/>
      <w:bookmarkEnd w:id="31"/>
      <w:r>
        <w:rPr/>
      </w:r>
      <w:bookmarkStart w:name="_bookmark18" w:id="32"/>
      <w:bookmarkEnd w:id="32"/>
      <w:r>
        <w:rPr/>
      </w:r>
      <w:hyperlink w:history="true" w:anchor="_bookmark9">
        <w:r>
          <w:rPr>
            <w:b/>
            <w:color w:val="12284B"/>
            <w:u w:val="single" w:color="12284B"/>
          </w:rPr>
          <w:t>ARRA</w:t>
        </w:r>
        <w:r>
          <w:rPr>
            <w:b/>
            <w:color w:val="12284B"/>
          </w:rPr>
          <w:t> </w:t>
        </w:r>
      </w:hyperlink>
      <w:r>
        <w:rPr>
          <w:b/>
        </w:rPr>
        <w:t>Stabilization &amp; Ed Job Funds</w:t>
      </w:r>
    </w:p>
    <w:p>
      <w:pPr>
        <w:pStyle w:val="BodyText"/>
        <w:spacing w:before="241"/>
        <w:ind w:left="260" w:right="612"/>
        <w:jc w:val="both"/>
        <w:rPr>
          <w:b w:val="0"/>
        </w:rPr>
      </w:pPr>
      <w:r>
        <w:rPr>
          <w:b w:val="0"/>
        </w:rPr>
        <w:t>These funds helped stabilize state and local governments’ budgets in order to minimize and avoid reductions in education and other essential public services. The State of Kansas used the following amounts to cover the general fund in the following school years:</w:t>
      </w:r>
    </w:p>
    <w:p>
      <w:pPr>
        <w:pStyle w:val="BodyText"/>
        <w:spacing w:line="420" w:lineRule="exact" w:before="18"/>
        <w:ind w:left="800" w:right="4076"/>
        <w:jc w:val="both"/>
        <w:rPr>
          <w:b w:val="0"/>
        </w:rPr>
      </w:pPr>
      <w:r>
        <w:rPr>
          <w:b w:val="0"/>
        </w:rPr>
        <w:t>2009-2010: ~$138,700,000 in </w:t>
      </w:r>
      <w:hyperlink w:history="true" w:anchor="_bookmark10">
        <w:r>
          <w:rPr>
            <w:b w:val="0"/>
            <w:color w:val="12284B"/>
            <w:u w:val="single" w:color="12284B"/>
          </w:rPr>
          <w:t>SFSF</w:t>
        </w:r>
        <w:r>
          <w:rPr>
            <w:b w:val="0"/>
            <w:color w:val="12284B"/>
          </w:rPr>
          <w:t> </w:t>
        </w:r>
      </w:hyperlink>
      <w:r>
        <w:rPr>
          <w:b w:val="0"/>
        </w:rPr>
        <w:t>program funds 2010-2011: ~$52,757,000 in </w:t>
      </w:r>
      <w:hyperlink w:history="true" w:anchor="_bookmark10">
        <w:r>
          <w:rPr>
            <w:b w:val="0"/>
            <w:color w:val="12284B"/>
            <w:u w:val="single" w:color="12284B"/>
          </w:rPr>
          <w:t>SFSF</w:t>
        </w:r>
        <w:r>
          <w:rPr>
            <w:b w:val="0"/>
            <w:color w:val="12284B"/>
          </w:rPr>
          <w:t> </w:t>
        </w:r>
      </w:hyperlink>
      <w:r>
        <w:rPr>
          <w:b w:val="0"/>
        </w:rPr>
        <w:t>program funds</w:t>
      </w:r>
    </w:p>
    <w:p>
      <w:pPr>
        <w:pStyle w:val="BodyText"/>
        <w:spacing w:line="280" w:lineRule="exact"/>
        <w:ind w:left="2060"/>
        <w:jc w:val="both"/>
        <w:rPr>
          <w:b w:val="0"/>
        </w:rPr>
      </w:pPr>
      <w:r>
        <w:rPr>
          <w:b w:val="0"/>
        </w:rPr>
        <w:t>~$92,378,000 in Ed Job funds</w:t>
      </w:r>
    </w:p>
    <w:p>
      <w:pPr>
        <w:pStyle w:val="BodyText"/>
        <w:spacing w:before="120"/>
        <w:ind w:left="800"/>
        <w:jc w:val="both"/>
        <w:rPr>
          <w:b w:val="0"/>
        </w:rPr>
      </w:pPr>
      <w:r>
        <w:rPr>
          <w:b w:val="0"/>
        </w:rPr>
        <w:t>2011-2012: ~$1,365,000 in Ed Job funds</w:t>
      </w:r>
    </w:p>
    <w:p>
      <w:pPr>
        <w:pStyle w:val="BodyText"/>
        <w:spacing w:before="6"/>
        <w:rPr>
          <w:b w:val="0"/>
          <w:sz w:val="26"/>
        </w:rPr>
      </w:pPr>
    </w:p>
    <w:p>
      <w:pPr>
        <w:pStyle w:val="Heading2"/>
        <w:spacing w:before="0"/>
        <w:rPr>
          <w:b/>
        </w:rPr>
      </w:pPr>
      <w:bookmarkStart w:name="General Fund Aid Total" w:id="33"/>
      <w:bookmarkEnd w:id="33"/>
      <w:r>
        <w:rPr/>
      </w:r>
      <w:bookmarkStart w:name="_bookmark19" w:id="34"/>
      <w:bookmarkEnd w:id="34"/>
      <w:r>
        <w:rPr/>
      </w:r>
      <w:r>
        <w:rPr>
          <w:b/>
        </w:rPr>
        <w:t>General Fund Aid Total</w:t>
      </w:r>
    </w:p>
    <w:p>
      <w:pPr>
        <w:pStyle w:val="BodyText"/>
        <w:spacing w:line="242" w:lineRule="auto" w:before="239"/>
        <w:ind w:left="260"/>
        <w:rPr>
          <w:b w:val="0"/>
        </w:rPr>
      </w:pPr>
      <w:hyperlink w:history="true" w:anchor="_bookmark16">
        <w:r>
          <w:rPr>
            <w:b w:val="0"/>
            <w:color w:val="12284B"/>
            <w:position w:val="2"/>
            <w:u w:val="single" w:color="12284B"/>
          </w:rPr>
          <w:t>State Foundation Aid</w:t>
        </w:r>
        <w:r>
          <w:rPr>
            <w:b w:val="0"/>
            <w:color w:val="12284B"/>
            <w:position w:val="2"/>
          </w:rPr>
          <w:t> </w:t>
        </w:r>
      </w:hyperlink>
      <w:r>
        <w:rPr>
          <w:rFonts w:ascii="Open Sans Semibold"/>
          <w:b/>
          <w:color w:val="D40031"/>
          <w:sz w:val="28"/>
        </w:rPr>
        <w:t>+ </w:t>
      </w:r>
      <w:hyperlink w:history="true" w:anchor="_bookmark17">
        <w:r>
          <w:rPr>
            <w:b w:val="0"/>
            <w:color w:val="12284B"/>
            <w:position w:val="2"/>
            <w:u w:val="single" w:color="12284B"/>
          </w:rPr>
          <w:t>Special Education State Aid</w:t>
        </w:r>
        <w:r>
          <w:rPr>
            <w:b w:val="0"/>
            <w:color w:val="12284B"/>
            <w:position w:val="2"/>
          </w:rPr>
          <w:t> </w:t>
        </w:r>
      </w:hyperlink>
      <w:r>
        <w:rPr>
          <w:rFonts w:ascii="Open Sans Semibold"/>
          <w:b/>
          <w:color w:val="D40031"/>
          <w:sz w:val="28"/>
        </w:rPr>
        <w:t>+ </w:t>
      </w:r>
      <w:hyperlink w:history="true" w:anchor="_bookmark18">
        <w:r>
          <w:rPr>
            <w:b w:val="0"/>
            <w:color w:val="12284B"/>
            <w:position w:val="2"/>
            <w:u w:val="single" w:color="12284B"/>
          </w:rPr>
          <w:t>ARRA stabilization &amp; Ed Job Funds</w:t>
        </w:r>
        <w:r>
          <w:rPr>
            <w:b w:val="0"/>
            <w:color w:val="12284B"/>
            <w:position w:val="2"/>
          </w:rPr>
          <w:t> </w:t>
        </w:r>
      </w:hyperlink>
      <w:r>
        <w:rPr>
          <w:b w:val="0"/>
          <w:position w:val="2"/>
        </w:rPr>
        <w:t>(if </w:t>
      </w:r>
      <w:r>
        <w:rPr>
          <w:b w:val="0"/>
        </w:rPr>
        <w:t>applicable)</w:t>
      </w:r>
    </w:p>
    <w:p>
      <w:pPr>
        <w:spacing w:after="0" w:line="242" w:lineRule="auto"/>
        <w:sectPr>
          <w:headerReference w:type="default" r:id="rId31"/>
          <w:footerReference w:type="default" r:id="rId32"/>
          <w:pgSz w:w="12240" w:h="15840"/>
          <w:pgMar w:header="1007" w:footer="1148" w:top="1220" w:bottom="1340" w:left="1180" w:right="1160"/>
          <w:pgNumType w:start="11"/>
        </w:sectPr>
      </w:pPr>
    </w:p>
    <w:p>
      <w:pPr>
        <w:pStyle w:val="BodyText"/>
        <w:rPr>
          <w:b w:val="0"/>
          <w:sz w:val="19"/>
        </w:rPr>
      </w:pPr>
    </w:p>
    <w:p>
      <w:pPr>
        <w:pStyle w:val="Heading2"/>
        <w:spacing w:before="102"/>
        <w:rPr>
          <w:b/>
        </w:rPr>
      </w:pPr>
      <w:bookmarkStart w:name="General Fund Budget" w:id="35"/>
      <w:bookmarkEnd w:id="35"/>
      <w:r>
        <w:rPr/>
      </w:r>
      <w:bookmarkStart w:name="_bookmark20" w:id="36"/>
      <w:bookmarkEnd w:id="36"/>
      <w:r>
        <w:rPr/>
      </w:r>
      <w:r>
        <w:rPr>
          <w:b/>
        </w:rPr>
        <w:t>General Fund Budget</w:t>
      </w:r>
    </w:p>
    <w:p>
      <w:pPr>
        <w:pStyle w:val="BodyText"/>
        <w:spacing w:before="238"/>
        <w:ind w:left="260"/>
        <w:rPr>
          <w:b w:val="0"/>
        </w:rPr>
      </w:pPr>
      <w:hyperlink w:history="true" w:anchor="_bookmark7">
        <w:r>
          <w:rPr>
            <w:b w:val="0"/>
            <w:position w:val="2"/>
          </w:rPr>
          <w:t>(</w:t>
        </w:r>
        <w:r>
          <w:rPr>
            <w:b w:val="0"/>
            <w:color w:val="12284B"/>
            <w:position w:val="2"/>
            <w:u w:val="single" w:color="12284B"/>
          </w:rPr>
          <w:t>Adjusted FTE Enrollment</w:t>
        </w:r>
        <w:r>
          <w:rPr>
            <w:b w:val="0"/>
            <w:color w:val="12284B"/>
            <w:position w:val="2"/>
          </w:rPr>
          <w:t> </w:t>
        </w:r>
      </w:hyperlink>
      <w:r>
        <w:rPr>
          <w:rFonts w:ascii="Open Sans Semibold"/>
          <w:b/>
          <w:color w:val="D40031"/>
          <w:position w:val="4"/>
          <w:sz w:val="24"/>
        </w:rPr>
        <w:t>x </w:t>
      </w:r>
      <w:hyperlink w:history="true" w:anchor="_bookmark21">
        <w:r>
          <w:rPr>
            <w:b w:val="0"/>
            <w:color w:val="12284B"/>
            <w:position w:val="2"/>
            <w:u w:val="single" w:color="12284B"/>
          </w:rPr>
          <w:t>BASE</w:t>
        </w:r>
      </w:hyperlink>
      <w:r>
        <w:rPr>
          <w:b w:val="0"/>
          <w:position w:val="2"/>
        </w:rPr>
        <w:t>) </w:t>
      </w:r>
      <w:r>
        <w:rPr>
          <w:rFonts w:ascii="Open Sans Semibold"/>
          <w:b/>
          <w:color w:val="D40031"/>
          <w:sz w:val="28"/>
        </w:rPr>
        <w:t>+ </w:t>
      </w:r>
      <w:hyperlink w:history="true" w:anchor="_bookmark8">
        <w:r>
          <w:rPr>
            <w:b w:val="0"/>
            <w:color w:val="12284B"/>
            <w:position w:val="2"/>
            <w:u w:val="single" w:color="12284B"/>
          </w:rPr>
          <w:t>Virtual State Aid</w:t>
        </w:r>
      </w:hyperlink>
    </w:p>
    <w:p>
      <w:pPr>
        <w:pStyle w:val="Heading2"/>
        <w:spacing w:before="242"/>
        <w:rPr>
          <w:rFonts w:ascii="Open Sans"/>
        </w:rPr>
      </w:pPr>
      <w:bookmarkStart w:name="BASE by the Year" w:id="37"/>
      <w:bookmarkEnd w:id="37"/>
      <w:r>
        <w:rPr/>
      </w:r>
      <w:bookmarkStart w:name="_bookmark21" w:id="38"/>
      <w:bookmarkEnd w:id="38"/>
      <w:r>
        <w:rPr/>
      </w:r>
      <w:r>
        <w:rPr>
          <w:rFonts w:ascii="Open Sans"/>
        </w:rPr>
        <w:t>BASE by the Year</w:t>
      </w:r>
    </w:p>
    <w:p>
      <w:pPr>
        <w:pStyle w:val="BodyText"/>
        <w:spacing w:before="10"/>
        <w:rPr>
          <w:rFonts w:ascii="Open Sans"/>
          <w:sz w:val="8"/>
        </w:rPr>
      </w:pPr>
    </w:p>
    <w:tbl>
      <w:tblPr>
        <w:tblW w:w="0" w:type="auto"/>
        <w:jc w:val="left"/>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72"/>
        <w:gridCol w:w="2377"/>
        <w:gridCol w:w="2377"/>
        <w:gridCol w:w="2172"/>
      </w:tblGrid>
      <w:tr>
        <w:trPr>
          <w:trHeight w:val="359" w:hRule="atLeast"/>
        </w:trPr>
        <w:tc>
          <w:tcPr>
            <w:tcW w:w="2172" w:type="dxa"/>
          </w:tcPr>
          <w:p>
            <w:pPr>
              <w:pStyle w:val="TableParagraph"/>
              <w:spacing w:before="1"/>
              <w:ind w:left="50"/>
              <w:rPr>
                <w:b w:val="0"/>
                <w:sz w:val="22"/>
              </w:rPr>
            </w:pPr>
            <w:r>
              <w:rPr>
                <w:rFonts w:ascii="Open Sans"/>
                <w:sz w:val="22"/>
              </w:rPr>
              <w:t>2020-2021: </w:t>
            </w:r>
            <w:r>
              <w:rPr>
                <w:b w:val="0"/>
                <w:sz w:val="22"/>
              </w:rPr>
              <w:t>$4,569</w:t>
            </w:r>
          </w:p>
        </w:tc>
        <w:tc>
          <w:tcPr>
            <w:tcW w:w="2377" w:type="dxa"/>
          </w:tcPr>
          <w:p>
            <w:pPr>
              <w:pStyle w:val="TableParagraph"/>
              <w:spacing w:before="1"/>
              <w:ind w:left="234" w:right="235"/>
              <w:jc w:val="center"/>
              <w:rPr>
                <w:b w:val="0"/>
                <w:sz w:val="22"/>
              </w:rPr>
            </w:pPr>
            <w:r>
              <w:rPr>
                <w:rFonts w:ascii="Open Sans"/>
                <w:sz w:val="22"/>
              </w:rPr>
              <w:t>2015-2016: </w:t>
            </w:r>
            <w:r>
              <w:rPr>
                <w:b w:val="0"/>
                <w:sz w:val="22"/>
              </w:rPr>
              <w:t>$3,852</w:t>
            </w:r>
          </w:p>
        </w:tc>
        <w:tc>
          <w:tcPr>
            <w:tcW w:w="2377" w:type="dxa"/>
          </w:tcPr>
          <w:p>
            <w:pPr>
              <w:pStyle w:val="TableParagraph"/>
              <w:spacing w:before="1"/>
              <w:ind w:left="234" w:right="235"/>
              <w:jc w:val="center"/>
              <w:rPr>
                <w:b w:val="0"/>
                <w:sz w:val="22"/>
              </w:rPr>
            </w:pPr>
            <w:r>
              <w:rPr>
                <w:rFonts w:ascii="Open Sans"/>
                <w:sz w:val="22"/>
              </w:rPr>
              <w:t>2010-2011: </w:t>
            </w:r>
            <w:r>
              <w:rPr>
                <w:b w:val="0"/>
                <w:sz w:val="22"/>
              </w:rPr>
              <w:t>$3,937</w:t>
            </w:r>
          </w:p>
        </w:tc>
        <w:tc>
          <w:tcPr>
            <w:tcW w:w="2172" w:type="dxa"/>
          </w:tcPr>
          <w:p>
            <w:pPr>
              <w:pStyle w:val="TableParagraph"/>
              <w:spacing w:before="1"/>
              <w:ind w:right="50"/>
              <w:jc w:val="right"/>
              <w:rPr>
                <w:b w:val="0"/>
                <w:sz w:val="22"/>
              </w:rPr>
            </w:pPr>
            <w:r>
              <w:rPr>
                <w:rFonts w:ascii="Open Sans"/>
                <w:sz w:val="22"/>
              </w:rPr>
              <w:t>2005-2006: </w:t>
            </w:r>
            <w:r>
              <w:rPr>
                <w:b w:val="0"/>
                <w:sz w:val="22"/>
              </w:rPr>
              <w:t>$4,257</w:t>
            </w:r>
          </w:p>
        </w:tc>
      </w:tr>
      <w:tr>
        <w:trPr>
          <w:trHeight w:val="418" w:hRule="atLeast"/>
        </w:trPr>
        <w:tc>
          <w:tcPr>
            <w:tcW w:w="2172" w:type="dxa"/>
          </w:tcPr>
          <w:p>
            <w:pPr>
              <w:pStyle w:val="TableParagraph"/>
              <w:spacing w:before="59"/>
              <w:ind w:left="50"/>
              <w:rPr>
                <w:b w:val="0"/>
                <w:sz w:val="22"/>
              </w:rPr>
            </w:pPr>
            <w:r>
              <w:rPr>
                <w:rFonts w:ascii="Open Sans"/>
                <w:sz w:val="22"/>
              </w:rPr>
              <w:t>2019-2020: </w:t>
            </w:r>
            <w:r>
              <w:rPr>
                <w:b w:val="0"/>
                <w:sz w:val="22"/>
              </w:rPr>
              <w:t>$4,436</w:t>
            </w:r>
          </w:p>
        </w:tc>
        <w:tc>
          <w:tcPr>
            <w:tcW w:w="2377" w:type="dxa"/>
          </w:tcPr>
          <w:p>
            <w:pPr>
              <w:pStyle w:val="TableParagraph"/>
              <w:spacing w:before="59"/>
              <w:ind w:left="234" w:right="235"/>
              <w:jc w:val="center"/>
              <w:rPr>
                <w:b w:val="0"/>
                <w:sz w:val="22"/>
              </w:rPr>
            </w:pPr>
            <w:r>
              <w:rPr>
                <w:rFonts w:ascii="Open Sans"/>
                <w:sz w:val="22"/>
              </w:rPr>
              <w:t>2014-2015: </w:t>
            </w:r>
            <w:r>
              <w:rPr>
                <w:b w:val="0"/>
                <w:sz w:val="22"/>
              </w:rPr>
              <w:t>$3,852</w:t>
            </w:r>
          </w:p>
        </w:tc>
        <w:tc>
          <w:tcPr>
            <w:tcW w:w="2377" w:type="dxa"/>
          </w:tcPr>
          <w:p>
            <w:pPr>
              <w:pStyle w:val="TableParagraph"/>
              <w:spacing w:before="59"/>
              <w:ind w:left="234" w:right="235"/>
              <w:jc w:val="center"/>
              <w:rPr>
                <w:b w:val="0"/>
                <w:sz w:val="22"/>
              </w:rPr>
            </w:pPr>
            <w:r>
              <w:rPr>
                <w:rFonts w:ascii="Open Sans"/>
                <w:sz w:val="22"/>
              </w:rPr>
              <w:t>2009-2010: </w:t>
            </w:r>
            <w:r>
              <w:rPr>
                <w:b w:val="0"/>
                <w:sz w:val="22"/>
              </w:rPr>
              <w:t>$4,012</w:t>
            </w:r>
          </w:p>
        </w:tc>
        <w:tc>
          <w:tcPr>
            <w:tcW w:w="2172" w:type="dxa"/>
          </w:tcPr>
          <w:p>
            <w:pPr>
              <w:pStyle w:val="TableParagraph"/>
              <w:spacing w:before="59"/>
              <w:ind w:right="50"/>
              <w:jc w:val="right"/>
              <w:rPr>
                <w:b w:val="0"/>
                <w:sz w:val="22"/>
              </w:rPr>
            </w:pPr>
            <w:r>
              <w:rPr>
                <w:rFonts w:ascii="Open Sans"/>
                <w:sz w:val="22"/>
              </w:rPr>
              <w:t>2004-2005: </w:t>
            </w:r>
            <w:r>
              <w:rPr>
                <w:b w:val="0"/>
                <w:sz w:val="22"/>
              </w:rPr>
              <w:t>$3,863</w:t>
            </w:r>
          </w:p>
        </w:tc>
      </w:tr>
      <w:tr>
        <w:trPr>
          <w:trHeight w:val="420" w:hRule="atLeast"/>
        </w:trPr>
        <w:tc>
          <w:tcPr>
            <w:tcW w:w="2172" w:type="dxa"/>
          </w:tcPr>
          <w:p>
            <w:pPr>
              <w:pStyle w:val="TableParagraph"/>
              <w:spacing w:before="61"/>
              <w:ind w:left="50"/>
              <w:rPr>
                <w:b w:val="0"/>
                <w:sz w:val="22"/>
              </w:rPr>
            </w:pPr>
            <w:r>
              <w:rPr>
                <w:rFonts w:ascii="Open Sans"/>
                <w:sz w:val="22"/>
              </w:rPr>
              <w:t>2018-2019: </w:t>
            </w:r>
            <w:r>
              <w:rPr>
                <w:b w:val="0"/>
                <w:sz w:val="22"/>
              </w:rPr>
              <w:t>$4,165</w:t>
            </w:r>
          </w:p>
        </w:tc>
        <w:tc>
          <w:tcPr>
            <w:tcW w:w="2377" w:type="dxa"/>
          </w:tcPr>
          <w:p>
            <w:pPr>
              <w:pStyle w:val="TableParagraph"/>
              <w:spacing w:before="60"/>
              <w:ind w:left="234" w:right="235"/>
              <w:jc w:val="center"/>
              <w:rPr>
                <w:b w:val="0"/>
                <w:sz w:val="22"/>
              </w:rPr>
            </w:pPr>
            <w:r>
              <w:rPr>
                <w:rFonts w:ascii="Open Sans"/>
                <w:sz w:val="22"/>
              </w:rPr>
              <w:t>2013-2014: </w:t>
            </w:r>
            <w:r>
              <w:rPr>
                <w:b w:val="0"/>
                <w:sz w:val="22"/>
              </w:rPr>
              <w:t>$3,838</w:t>
            </w:r>
          </w:p>
        </w:tc>
        <w:tc>
          <w:tcPr>
            <w:tcW w:w="2377" w:type="dxa"/>
          </w:tcPr>
          <w:p>
            <w:pPr>
              <w:pStyle w:val="TableParagraph"/>
              <w:spacing w:before="60"/>
              <w:ind w:left="234" w:right="235"/>
              <w:jc w:val="center"/>
              <w:rPr>
                <w:b w:val="0"/>
                <w:sz w:val="22"/>
              </w:rPr>
            </w:pPr>
            <w:r>
              <w:rPr>
                <w:rFonts w:ascii="Open Sans"/>
                <w:sz w:val="22"/>
              </w:rPr>
              <w:t>2008-2009: </w:t>
            </w:r>
            <w:r>
              <w:rPr>
                <w:b w:val="0"/>
                <w:sz w:val="22"/>
              </w:rPr>
              <w:t>$4,400</w:t>
            </w:r>
          </w:p>
        </w:tc>
        <w:tc>
          <w:tcPr>
            <w:tcW w:w="2172" w:type="dxa"/>
          </w:tcPr>
          <w:p>
            <w:pPr>
              <w:pStyle w:val="TableParagraph"/>
              <w:spacing w:before="60"/>
              <w:ind w:right="50"/>
              <w:jc w:val="right"/>
              <w:rPr>
                <w:b w:val="0"/>
                <w:sz w:val="22"/>
              </w:rPr>
            </w:pPr>
            <w:r>
              <w:rPr>
                <w:rFonts w:ascii="Open Sans"/>
                <w:sz w:val="22"/>
              </w:rPr>
              <w:t>2003-2004: </w:t>
            </w:r>
            <w:r>
              <w:rPr>
                <w:b w:val="0"/>
                <w:sz w:val="22"/>
              </w:rPr>
              <w:t>$3,863</w:t>
            </w:r>
          </w:p>
        </w:tc>
      </w:tr>
      <w:tr>
        <w:trPr>
          <w:trHeight w:val="419" w:hRule="atLeast"/>
        </w:trPr>
        <w:tc>
          <w:tcPr>
            <w:tcW w:w="2172" w:type="dxa"/>
          </w:tcPr>
          <w:p>
            <w:pPr>
              <w:pStyle w:val="TableParagraph"/>
              <w:spacing w:before="60"/>
              <w:ind w:left="50"/>
              <w:rPr>
                <w:b w:val="0"/>
                <w:sz w:val="22"/>
              </w:rPr>
            </w:pPr>
            <w:r>
              <w:rPr>
                <w:rFonts w:ascii="Open Sans"/>
                <w:sz w:val="22"/>
              </w:rPr>
              <w:t>2017-2018: </w:t>
            </w:r>
            <w:r>
              <w:rPr>
                <w:b w:val="0"/>
                <w:sz w:val="22"/>
              </w:rPr>
              <w:t>$4,006</w:t>
            </w:r>
          </w:p>
        </w:tc>
        <w:tc>
          <w:tcPr>
            <w:tcW w:w="2377" w:type="dxa"/>
          </w:tcPr>
          <w:p>
            <w:pPr>
              <w:pStyle w:val="TableParagraph"/>
              <w:spacing w:before="60"/>
              <w:ind w:left="234" w:right="235"/>
              <w:jc w:val="center"/>
              <w:rPr>
                <w:b w:val="0"/>
                <w:sz w:val="22"/>
              </w:rPr>
            </w:pPr>
            <w:r>
              <w:rPr>
                <w:rFonts w:ascii="Open Sans"/>
                <w:sz w:val="22"/>
              </w:rPr>
              <w:t>2012-2013: </w:t>
            </w:r>
            <w:r>
              <w:rPr>
                <w:b w:val="0"/>
                <w:sz w:val="22"/>
              </w:rPr>
              <w:t>$3,838</w:t>
            </w:r>
          </w:p>
        </w:tc>
        <w:tc>
          <w:tcPr>
            <w:tcW w:w="2377" w:type="dxa"/>
          </w:tcPr>
          <w:p>
            <w:pPr>
              <w:pStyle w:val="TableParagraph"/>
              <w:spacing w:before="60"/>
              <w:ind w:left="234" w:right="235"/>
              <w:jc w:val="center"/>
              <w:rPr>
                <w:b w:val="0"/>
                <w:sz w:val="22"/>
              </w:rPr>
            </w:pPr>
            <w:r>
              <w:rPr>
                <w:rFonts w:ascii="Open Sans"/>
                <w:sz w:val="22"/>
              </w:rPr>
              <w:t>2007-2008: </w:t>
            </w:r>
            <w:r>
              <w:rPr>
                <w:b w:val="0"/>
                <w:sz w:val="22"/>
              </w:rPr>
              <w:t>$4,374</w:t>
            </w:r>
          </w:p>
        </w:tc>
        <w:tc>
          <w:tcPr>
            <w:tcW w:w="2172" w:type="dxa"/>
          </w:tcPr>
          <w:p>
            <w:pPr>
              <w:pStyle w:val="TableParagraph"/>
              <w:rPr>
                <w:rFonts w:ascii="Times New Roman"/>
                <w:sz w:val="22"/>
              </w:rPr>
            </w:pPr>
          </w:p>
        </w:tc>
      </w:tr>
      <w:tr>
        <w:trPr>
          <w:trHeight w:val="360" w:hRule="atLeast"/>
        </w:trPr>
        <w:tc>
          <w:tcPr>
            <w:tcW w:w="2172" w:type="dxa"/>
          </w:tcPr>
          <w:p>
            <w:pPr>
              <w:pStyle w:val="TableParagraph"/>
              <w:spacing w:line="280" w:lineRule="exact" w:before="60"/>
              <w:ind w:left="50"/>
              <w:rPr>
                <w:b w:val="0"/>
                <w:sz w:val="22"/>
              </w:rPr>
            </w:pPr>
            <w:r>
              <w:rPr>
                <w:rFonts w:ascii="Open Sans"/>
                <w:sz w:val="22"/>
              </w:rPr>
              <w:t>2016-2017: </w:t>
            </w:r>
            <w:r>
              <w:rPr>
                <w:b w:val="0"/>
                <w:sz w:val="22"/>
              </w:rPr>
              <w:t>$3,852</w:t>
            </w:r>
          </w:p>
        </w:tc>
        <w:tc>
          <w:tcPr>
            <w:tcW w:w="2377" w:type="dxa"/>
          </w:tcPr>
          <w:p>
            <w:pPr>
              <w:pStyle w:val="TableParagraph"/>
              <w:spacing w:line="280" w:lineRule="exact" w:before="60"/>
              <w:ind w:left="234" w:right="235"/>
              <w:jc w:val="center"/>
              <w:rPr>
                <w:b w:val="0"/>
                <w:sz w:val="22"/>
              </w:rPr>
            </w:pPr>
            <w:r>
              <w:rPr>
                <w:rFonts w:ascii="Open Sans"/>
                <w:sz w:val="22"/>
              </w:rPr>
              <w:t>2011-2012: </w:t>
            </w:r>
            <w:r>
              <w:rPr>
                <w:b w:val="0"/>
                <w:sz w:val="22"/>
              </w:rPr>
              <w:t>$3,780</w:t>
            </w:r>
          </w:p>
        </w:tc>
        <w:tc>
          <w:tcPr>
            <w:tcW w:w="2377" w:type="dxa"/>
          </w:tcPr>
          <w:p>
            <w:pPr>
              <w:pStyle w:val="TableParagraph"/>
              <w:spacing w:line="280" w:lineRule="exact" w:before="60"/>
              <w:ind w:left="234" w:right="235"/>
              <w:jc w:val="center"/>
              <w:rPr>
                <w:b w:val="0"/>
                <w:sz w:val="22"/>
              </w:rPr>
            </w:pPr>
            <w:r>
              <w:rPr>
                <w:rFonts w:ascii="Open Sans"/>
                <w:sz w:val="22"/>
              </w:rPr>
              <w:t>2006-2007: </w:t>
            </w:r>
            <w:r>
              <w:rPr>
                <w:b w:val="0"/>
                <w:sz w:val="22"/>
              </w:rPr>
              <w:t>$4,316</w:t>
            </w:r>
          </w:p>
        </w:tc>
        <w:tc>
          <w:tcPr>
            <w:tcW w:w="2172" w:type="dxa"/>
          </w:tcPr>
          <w:p>
            <w:pPr>
              <w:pStyle w:val="TableParagraph"/>
              <w:rPr>
                <w:rFonts w:ascii="Times New Roman"/>
                <w:sz w:val="22"/>
              </w:rPr>
            </w:pPr>
          </w:p>
        </w:tc>
      </w:tr>
    </w:tbl>
    <w:p>
      <w:pPr>
        <w:pStyle w:val="Heading2"/>
        <w:spacing w:before="360"/>
        <w:rPr>
          <w:b/>
        </w:rPr>
      </w:pPr>
      <w:bookmarkStart w:name="% of Total Aid to General Fund Budget" w:id="39"/>
      <w:bookmarkEnd w:id="39"/>
      <w:r>
        <w:rPr/>
      </w:r>
      <w:bookmarkStart w:name="_bookmark22" w:id="40"/>
      <w:bookmarkEnd w:id="40"/>
      <w:r>
        <w:rPr/>
      </w:r>
      <w:r>
        <w:rPr>
          <w:b/>
        </w:rPr>
        <w:t>% of Total Aid to General Fund Budget</w:t>
      </w:r>
    </w:p>
    <w:p>
      <w:pPr>
        <w:pStyle w:val="BodyText"/>
        <w:spacing w:before="238"/>
        <w:ind w:left="260"/>
        <w:rPr>
          <w:b w:val="0"/>
        </w:rPr>
      </w:pPr>
      <w:hyperlink w:history="true" w:anchor="_bookmark19">
        <w:r>
          <w:rPr>
            <w:b w:val="0"/>
            <w:color w:val="12284B"/>
            <w:position w:val="2"/>
            <w:u w:val="single" w:color="12284B"/>
          </w:rPr>
          <w:t>General Fund Aid Total</w:t>
        </w:r>
        <w:r>
          <w:rPr>
            <w:b w:val="0"/>
            <w:color w:val="12284B"/>
            <w:position w:val="2"/>
          </w:rPr>
          <w:t> </w:t>
        </w:r>
      </w:hyperlink>
      <w:r>
        <w:rPr>
          <w:rFonts w:ascii="Open Sans Semibold" w:hAnsi="Open Sans Semibold"/>
          <w:b/>
          <w:color w:val="D40031"/>
          <w:sz w:val="28"/>
        </w:rPr>
        <w:t>÷ </w:t>
      </w:r>
      <w:hyperlink w:history="true" w:anchor="_bookmark20">
        <w:r>
          <w:rPr>
            <w:b w:val="0"/>
            <w:color w:val="12284B"/>
            <w:position w:val="2"/>
            <w:u w:val="single" w:color="12284B"/>
          </w:rPr>
          <w:t>General Fund Budget</w:t>
        </w:r>
      </w:hyperlink>
    </w:p>
    <w:p>
      <w:pPr>
        <w:pStyle w:val="BodyText"/>
        <w:spacing w:before="4"/>
        <w:rPr>
          <w:b w:val="0"/>
          <w:sz w:val="44"/>
        </w:rPr>
      </w:pPr>
    </w:p>
    <w:p>
      <w:pPr>
        <w:pStyle w:val="Heading1"/>
        <w:spacing w:before="0"/>
      </w:pPr>
      <w:bookmarkStart w:name="Supplemental General State Aid" w:id="41"/>
      <w:bookmarkEnd w:id="41"/>
      <w:r>
        <w:rPr>
          <w:b w:val="0"/>
        </w:rPr>
      </w:r>
      <w:bookmarkStart w:name="_bookmark23" w:id="42"/>
      <w:bookmarkEnd w:id="42"/>
      <w:r>
        <w:rPr>
          <w:b w:val="0"/>
        </w:rPr>
      </w:r>
      <w:r>
        <w:rPr>
          <w:color w:val="12284B"/>
        </w:rPr>
        <w:t>Supplemental General State Aid</w:t>
      </w:r>
    </w:p>
    <w:p>
      <w:pPr>
        <w:pStyle w:val="BodyText"/>
        <w:spacing w:before="358"/>
        <w:ind w:left="260" w:right="311"/>
        <w:rPr>
          <w:b w:val="0"/>
        </w:rPr>
      </w:pPr>
      <w:r>
        <w:rPr>
          <w:b w:val="0"/>
        </w:rPr>
        <w:t>Supplemental General State Aid paid to the districts during the school year. Some districts do not qualify for this aid as it is based on an equalization principle, which is designed to treat each school district as if its assessed valuation per pupil (AVPP) were equal to that of a district at the 81.2 percentile of AVPP. Under this formula, districts having AVPP above the 81.2 percentile receive no Supplemental General State Aid. Supplemental General State Aid money is to be deposited in the Supplemental General fund (.</w:t>
      </w:r>
    </w:p>
    <w:p>
      <w:pPr>
        <w:pStyle w:val="BodyText"/>
        <w:spacing w:before="121"/>
        <w:ind w:left="260" w:right="596"/>
        <w:rPr>
          <w:b w:val="0"/>
        </w:rPr>
      </w:pPr>
      <w:r>
        <w:rPr>
          <w:b w:val="0"/>
        </w:rPr>
        <w:t>During the 2014-2015 school year, LOB state aid was computed based on House Substitute for Senate Bill 7 (House Sub SB7) as ranked by quintiles and pro-rated accordingly.</w:t>
      </w:r>
    </w:p>
    <w:p>
      <w:pPr>
        <w:pStyle w:val="BodyText"/>
        <w:spacing w:before="5"/>
        <w:rPr>
          <w:b w:val="0"/>
          <w:sz w:val="26"/>
        </w:rPr>
      </w:pPr>
    </w:p>
    <w:p>
      <w:pPr>
        <w:pStyle w:val="Heading2"/>
        <w:spacing w:before="1"/>
        <w:rPr>
          <w:b/>
        </w:rPr>
      </w:pPr>
      <w:bookmarkStart w:name="ARRA Stabilization (LOB)" w:id="43"/>
      <w:bookmarkEnd w:id="43"/>
      <w:r>
        <w:rPr/>
      </w:r>
      <w:bookmarkStart w:name="_bookmark24" w:id="44"/>
      <w:bookmarkEnd w:id="44"/>
      <w:r>
        <w:rPr/>
      </w:r>
      <w:hyperlink w:history="true" w:anchor="_bookmark9">
        <w:r>
          <w:rPr>
            <w:b/>
            <w:color w:val="12284B"/>
            <w:u w:val="single" w:color="12284B"/>
          </w:rPr>
          <w:t>ARRA</w:t>
        </w:r>
        <w:r>
          <w:rPr>
            <w:b/>
            <w:color w:val="12284B"/>
          </w:rPr>
          <w:t> </w:t>
        </w:r>
      </w:hyperlink>
      <w:r>
        <w:rPr>
          <w:b/>
        </w:rPr>
        <w:t>Stabilization (LOB)</w:t>
      </w:r>
    </w:p>
    <w:p>
      <w:pPr>
        <w:pStyle w:val="BodyText"/>
        <w:spacing w:line="237" w:lineRule="auto" w:before="240"/>
        <w:ind w:left="260" w:right="260"/>
        <w:rPr>
          <w:b w:val="0"/>
        </w:rPr>
      </w:pPr>
      <w:r>
        <w:rPr>
          <w:b w:val="0"/>
        </w:rPr>
        <w:t>As a result of the Governor balancing the 2009</w:t>
      </w:r>
      <w:r>
        <w:rPr>
          <w:rFonts w:ascii="Cambria Math" w:hAnsi="Cambria Math"/>
        </w:rPr>
        <w:t>‐</w:t>
      </w:r>
      <w:r>
        <w:rPr>
          <w:b w:val="0"/>
        </w:rPr>
        <w:t>2010 budget, approximately $86,000,000 of the 2010</w:t>
      </w:r>
      <w:r>
        <w:rPr>
          <w:rFonts w:ascii="Cambria Math" w:hAnsi="Cambria Math"/>
        </w:rPr>
        <w:t>‐</w:t>
      </w:r>
      <w:r>
        <w:rPr>
          <w:b w:val="0"/>
        </w:rPr>
        <w:t>2011 </w:t>
      </w:r>
      <w:hyperlink w:history="true" w:anchor="_bookmark10">
        <w:r>
          <w:rPr>
            <w:b w:val="0"/>
            <w:color w:val="12284B"/>
            <w:u w:val="single" w:color="12284B"/>
          </w:rPr>
          <w:t>SFSF </w:t>
        </w:r>
      </w:hyperlink>
      <w:hyperlink w:history="true" w:anchor="_bookmark9">
        <w:r>
          <w:rPr>
            <w:b w:val="0"/>
            <w:color w:val="12284B"/>
            <w:u w:val="single" w:color="12284B"/>
          </w:rPr>
          <w:t>ARRA</w:t>
        </w:r>
        <w:r>
          <w:rPr>
            <w:b w:val="0"/>
            <w:color w:val="12284B"/>
          </w:rPr>
          <w:t> </w:t>
        </w:r>
      </w:hyperlink>
      <w:r>
        <w:rPr>
          <w:b w:val="0"/>
        </w:rPr>
        <w:t>money was used in the 2009-2010 school year to help pay school districts’ February 1</w:t>
      </w:r>
      <w:r>
        <w:rPr>
          <w:b w:val="0"/>
          <w:position w:val="9"/>
          <w:sz w:val="14"/>
        </w:rPr>
        <w:t>st</w:t>
      </w:r>
      <w:r>
        <w:rPr>
          <w:b w:val="0"/>
        </w:rPr>
        <w:t>, 2010 Supplemental General State Aid payments.</w:t>
      </w:r>
    </w:p>
    <w:p>
      <w:pPr>
        <w:spacing w:after="0" w:line="237" w:lineRule="auto"/>
        <w:sectPr>
          <w:headerReference w:type="default" r:id="rId35"/>
          <w:footerReference w:type="default" r:id="rId36"/>
          <w:pgSz w:w="12240" w:h="15840"/>
          <w:pgMar w:header="1007" w:footer="1148" w:top="1220" w:bottom="1340" w:left="1180" w:right="1160"/>
          <w:pgNumType w:start="12"/>
        </w:sectPr>
      </w:pPr>
    </w:p>
    <w:p>
      <w:pPr>
        <w:pStyle w:val="BodyText"/>
        <w:spacing w:before="12"/>
        <w:rPr>
          <w:b w:val="0"/>
          <w:sz w:val="27"/>
        </w:rPr>
      </w:pPr>
    </w:p>
    <w:p>
      <w:pPr>
        <w:pStyle w:val="Heading2"/>
        <w:rPr>
          <w:b/>
        </w:rPr>
      </w:pPr>
      <w:bookmarkStart w:name="Supplemental General Fund Budget" w:id="45"/>
      <w:bookmarkEnd w:id="45"/>
      <w:r>
        <w:rPr/>
      </w:r>
      <w:bookmarkStart w:name="_bookmark25" w:id="46"/>
      <w:bookmarkEnd w:id="46"/>
      <w:r>
        <w:rPr/>
      </w:r>
      <w:r>
        <w:rPr>
          <w:b/>
        </w:rPr>
        <w:t>Supplemental General Fund Budget</w:t>
      </w:r>
    </w:p>
    <w:p>
      <w:pPr>
        <w:pStyle w:val="BodyText"/>
        <w:spacing w:before="240"/>
        <w:ind w:left="260" w:right="368"/>
        <w:rPr>
          <w:b w:val="0"/>
        </w:rPr>
      </w:pPr>
      <w:r>
        <w:rPr>
          <w:b w:val="0"/>
        </w:rPr>
        <w:t>Per </w:t>
      </w:r>
      <w:hyperlink r:id="rId37">
        <w:r>
          <w:rPr>
            <w:b w:val="0"/>
            <w:color w:val="12284B"/>
            <w:u w:val="single" w:color="12284B"/>
          </w:rPr>
          <w:t>KSA 72-5144</w:t>
        </w:r>
        <w:r>
          <w:rPr>
            <w:b w:val="0"/>
          </w:rPr>
          <w:t>, </w:t>
        </w:r>
      </w:hyperlink>
      <w:r>
        <w:rPr>
          <w:b w:val="0"/>
        </w:rPr>
        <w:t>the BASE for the Supplemental General Fund Budget (LOB) is determined as follows:</w:t>
      </w:r>
    </w:p>
    <w:p>
      <w:pPr>
        <w:pStyle w:val="BodyText"/>
        <w:spacing w:before="6"/>
        <w:rPr>
          <w:b w:val="0"/>
          <w:sz w:val="23"/>
        </w:rPr>
      </w:pPr>
      <w:r>
        <w:rPr/>
        <w:pict>
          <v:shape style="position:absolute;margin-left:69pt;margin-top:18.173721pt;width:472.45pt;height:.1pt;mso-position-horizontal-relative:page;mso-position-vertical-relative:paragraph;z-index:-251648000;mso-wrap-distance-left:0;mso-wrap-distance-right:0" coordorigin="1380,363" coordsize="9449,0" path="m1380,363l10829,363e" filled="false" stroked="true" strokeweight=".48pt" strokecolor="#ffa300">
            <v:path arrowok="t"/>
            <v:stroke dashstyle="solid"/>
            <w10:wrap type="topAndBottom"/>
          </v:shape>
        </w:pict>
      </w:r>
    </w:p>
    <w:p>
      <w:pPr>
        <w:pStyle w:val="BodyText"/>
        <w:spacing w:line="235" w:lineRule="auto" w:before="174"/>
        <w:ind w:left="711" w:right="577"/>
        <w:rPr>
          <w:b w:val="0"/>
        </w:rPr>
      </w:pPr>
      <w:r>
        <w:rPr>
          <w:b w:val="0"/>
          <w:color w:val="00B795"/>
          <w:position w:val="2"/>
        </w:rPr>
        <w:t>[(</w:t>
      </w:r>
      <w:hyperlink w:history="true" w:anchor="_bookmark7">
        <w:r>
          <w:rPr>
            <w:b w:val="0"/>
            <w:color w:val="12284B"/>
            <w:position w:val="2"/>
            <w:u w:val="single" w:color="12284B"/>
          </w:rPr>
          <w:t>Adjusted (FTE) Enrollment</w:t>
        </w:r>
        <w:r>
          <w:rPr>
            <w:b w:val="0"/>
            <w:color w:val="12284B"/>
            <w:position w:val="2"/>
          </w:rPr>
          <w:t> </w:t>
        </w:r>
      </w:hyperlink>
      <w:r>
        <w:rPr>
          <w:rFonts w:ascii="Open Sans Semibold" w:hAnsi="Open Sans Semibold"/>
          <w:b/>
          <w:color w:val="D40031"/>
          <w:sz w:val="28"/>
        </w:rPr>
        <w:t>- </w:t>
      </w:r>
      <w:hyperlink w:history="true" w:anchor="_bookmark15">
        <w:r>
          <w:rPr>
            <w:b w:val="0"/>
            <w:color w:val="12284B"/>
            <w:position w:val="2"/>
            <w:u w:val="single" w:color="12284B"/>
          </w:rPr>
          <w:t>Special Education Weighted FTE</w:t>
        </w:r>
      </w:hyperlink>
      <w:r>
        <w:rPr>
          <w:b w:val="0"/>
          <w:color w:val="00B795"/>
          <w:position w:val="2"/>
        </w:rPr>
        <w:t>) </w:t>
      </w:r>
      <w:r>
        <w:rPr>
          <w:rFonts w:ascii="Open Sans Semibold" w:hAnsi="Open Sans Semibold"/>
          <w:b/>
          <w:color w:val="D40031"/>
          <w:position w:val="4"/>
          <w:sz w:val="24"/>
        </w:rPr>
        <w:t>x </w:t>
      </w:r>
      <w:hyperlink w:history="true" w:anchor="_bookmark10">
        <w:r>
          <w:rPr>
            <w:b w:val="0"/>
            <w:color w:val="12284B"/>
            <w:position w:val="2"/>
            <w:u w:val="single" w:color="12284B"/>
          </w:rPr>
          <w:t>LOB BASE</w:t>
        </w:r>
      </w:hyperlink>
      <w:r>
        <w:rPr>
          <w:b w:val="0"/>
          <w:color w:val="00B795"/>
          <w:position w:val="2"/>
        </w:rPr>
        <w:t>] </w:t>
      </w:r>
      <w:r>
        <w:rPr>
          <w:rFonts w:ascii="Open Sans Semibold" w:hAnsi="Open Sans Semibold"/>
          <w:b/>
          <w:color w:val="D40031"/>
          <w:sz w:val="28"/>
        </w:rPr>
        <w:t>+ </w:t>
      </w:r>
      <w:r>
        <w:rPr>
          <w:b w:val="0"/>
          <w:position w:val="2"/>
        </w:rPr>
        <w:t>Higher of </w:t>
      </w:r>
      <w:r>
        <w:rPr>
          <w:b w:val="0"/>
        </w:rPr>
        <w:t>2008-2009 Special Education State Aid </w:t>
      </w:r>
      <w:r>
        <w:rPr>
          <w:b w:val="0"/>
          <w:i/>
          <w:color w:val="005486"/>
          <w:sz w:val="23"/>
          <w:u w:val="single" w:color="005486"/>
        </w:rPr>
        <w:t>OR</w:t>
      </w:r>
      <w:r>
        <w:rPr>
          <w:b w:val="0"/>
          <w:i/>
          <w:color w:val="005486"/>
          <w:sz w:val="23"/>
        </w:rPr>
        <w:t> </w:t>
      </w:r>
      <w:hyperlink w:history="true" w:anchor="_bookmark17">
        <w:r>
          <w:rPr>
            <w:b w:val="0"/>
            <w:color w:val="12284B"/>
            <w:u w:val="single" w:color="12284B"/>
          </w:rPr>
          <w:t>Current Year’s Special Education State Aid</w:t>
        </w:r>
      </w:hyperlink>
    </w:p>
    <w:p>
      <w:pPr>
        <w:pStyle w:val="BodyText"/>
        <w:spacing w:before="13"/>
        <w:rPr>
          <w:b w:val="0"/>
          <w:sz w:val="18"/>
        </w:rPr>
      </w:pPr>
    </w:p>
    <w:p>
      <w:pPr>
        <w:pStyle w:val="BodyText"/>
        <w:tabs>
          <w:tab w:pos="1519" w:val="left" w:leader="none"/>
        </w:tabs>
        <w:spacing w:before="101"/>
        <w:ind w:left="228"/>
        <w:rPr>
          <w:b w:val="0"/>
        </w:rPr>
      </w:pPr>
      <w:r>
        <w:rPr>
          <w:b w:val="0"/>
          <w:color w:val="005486"/>
        </w:rPr>
        <w:t>Note:</w:t>
        <w:tab/>
        <w:t>Schools may adopt a budget less than the amount</w:t>
      </w:r>
      <w:r>
        <w:rPr>
          <w:b w:val="0"/>
          <w:color w:val="005486"/>
          <w:spacing w:val="-14"/>
        </w:rPr>
        <w:t> </w:t>
      </w:r>
      <w:r>
        <w:rPr>
          <w:b w:val="0"/>
          <w:color w:val="005486"/>
        </w:rPr>
        <w:t>authorized.</w:t>
      </w:r>
    </w:p>
    <w:p>
      <w:pPr>
        <w:pStyle w:val="BodyText"/>
        <w:spacing w:before="10"/>
        <w:rPr>
          <w:b w:val="0"/>
          <w:sz w:val="11"/>
        </w:rPr>
      </w:pPr>
      <w:r>
        <w:rPr/>
        <w:pict>
          <v:shape style="position:absolute;margin-left:69pt;margin-top:10.23138pt;width:472.45pt;height:.1pt;mso-position-horizontal-relative:page;mso-position-vertical-relative:paragraph;z-index:-251646976;mso-wrap-distance-left:0;mso-wrap-distance-right:0" coordorigin="1380,205" coordsize="9449,0" path="m1380,205l10829,205e" filled="false" stroked="true" strokeweight=".481pt" strokecolor="#ffa300">
            <v:path arrowok="t"/>
            <v:stroke dashstyle="solid"/>
            <w10:wrap type="topAndBottom"/>
          </v:shape>
        </w:pict>
      </w:r>
    </w:p>
    <w:p>
      <w:pPr>
        <w:pStyle w:val="BodyText"/>
        <w:spacing w:before="11"/>
        <w:rPr>
          <w:b w:val="0"/>
          <w:sz w:val="16"/>
        </w:rPr>
      </w:pPr>
    </w:p>
    <w:p>
      <w:pPr>
        <w:pStyle w:val="Heading2"/>
        <w:ind w:right="2035"/>
        <w:rPr>
          <w:b/>
        </w:rPr>
      </w:pPr>
      <w:bookmarkStart w:name="% of Supplemental General State Aid to S" w:id="47"/>
      <w:bookmarkEnd w:id="47"/>
      <w:r>
        <w:rPr/>
      </w:r>
      <w:bookmarkStart w:name="_bookmark26" w:id="48"/>
      <w:bookmarkEnd w:id="48"/>
      <w:r>
        <w:rPr/>
      </w:r>
      <w:r>
        <w:rPr>
          <w:b/>
        </w:rPr>
        <w:t>% of Supplemental General State Aid to Supplemental General Budget</w:t>
      </w:r>
    </w:p>
    <w:p>
      <w:pPr>
        <w:pStyle w:val="BodyText"/>
        <w:spacing w:before="239"/>
        <w:ind w:left="260"/>
        <w:rPr>
          <w:b w:val="0"/>
        </w:rPr>
      </w:pPr>
      <w:hyperlink w:history="true" w:anchor="_bookmark23">
        <w:r>
          <w:rPr>
            <w:b w:val="0"/>
            <w:color w:val="12284B"/>
            <w:position w:val="2"/>
            <w:u w:val="single" w:color="12284B"/>
          </w:rPr>
          <w:t>Supplemental General State Aid</w:t>
        </w:r>
        <w:r>
          <w:rPr>
            <w:b w:val="0"/>
            <w:color w:val="12284B"/>
            <w:position w:val="2"/>
          </w:rPr>
          <w:t> </w:t>
        </w:r>
      </w:hyperlink>
      <w:r>
        <w:rPr>
          <w:rFonts w:ascii="Open Sans Semibold" w:hAnsi="Open Sans Semibold"/>
          <w:b/>
          <w:color w:val="D40031"/>
          <w:sz w:val="28"/>
        </w:rPr>
        <w:t>÷ </w:t>
      </w:r>
      <w:hyperlink w:history="true" w:anchor="_bookmark25">
        <w:r>
          <w:rPr>
            <w:b w:val="0"/>
            <w:color w:val="12284B"/>
            <w:position w:val="2"/>
            <w:u w:val="single" w:color="12284B"/>
          </w:rPr>
          <w:t>Supplemental General Fund Budget</w:t>
        </w:r>
      </w:hyperlink>
    </w:p>
    <w:p>
      <w:pPr>
        <w:spacing w:after="0"/>
        <w:sectPr>
          <w:pgSz w:w="12240" w:h="15840"/>
          <w:pgMar w:header="1007" w:footer="1148" w:top="1220" w:bottom="1340" w:left="1180" w:right="1160"/>
        </w:sectPr>
      </w:pPr>
    </w:p>
    <w:p>
      <w:pPr>
        <w:pStyle w:val="BodyText"/>
        <w:rPr>
          <w:b w:val="0"/>
          <w:sz w:val="20"/>
        </w:rPr>
      </w:pPr>
      <w:r>
        <w:rPr/>
        <w:drawing>
          <wp:anchor distT="0" distB="0" distL="0" distR="0" allowOverlap="1" layoutInCell="1" locked="0" behindDoc="1" simplePos="0" relativeHeight="250869760">
            <wp:simplePos x="0" y="0"/>
            <wp:positionH relativeFrom="page">
              <wp:posOffset>3552691</wp:posOffset>
            </wp:positionH>
            <wp:positionV relativeFrom="page">
              <wp:posOffset>7500134</wp:posOffset>
            </wp:positionV>
            <wp:extent cx="702894" cy="1290351"/>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40" cstate="print"/>
                    <a:stretch>
                      <a:fillRect/>
                    </a:stretch>
                  </pic:blipFill>
                  <pic:spPr>
                    <a:xfrm>
                      <a:off x="0" y="0"/>
                      <a:ext cx="702894" cy="1290351"/>
                    </a:xfrm>
                    <a:prstGeom prst="rect">
                      <a:avLst/>
                    </a:prstGeom>
                  </pic:spPr>
                </pic:pic>
              </a:graphicData>
            </a:graphic>
          </wp:anchor>
        </w:drawing>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8"/>
        <w:rPr>
          <w:b w:val="0"/>
          <w:sz w:val="13"/>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7"/>
        <w:gridCol w:w="5407"/>
      </w:tblGrid>
      <w:tr>
        <w:trPr>
          <w:trHeight w:val="712" w:hRule="atLeast"/>
        </w:trPr>
        <w:tc>
          <w:tcPr>
            <w:tcW w:w="3517" w:type="dxa"/>
          </w:tcPr>
          <w:p>
            <w:pPr>
              <w:pStyle w:val="TableParagraph"/>
              <w:spacing w:line="272" w:lineRule="exact"/>
              <w:ind w:left="200"/>
              <w:rPr>
                <w:b w:val="0"/>
                <w:sz w:val="20"/>
              </w:rPr>
            </w:pPr>
            <w:r>
              <w:rPr>
                <w:b w:val="0"/>
                <w:sz w:val="20"/>
              </w:rPr>
              <w:t>For more information, contact:</w:t>
            </w:r>
          </w:p>
        </w:tc>
        <w:tc>
          <w:tcPr>
            <w:tcW w:w="5407" w:type="dxa"/>
          </w:tcPr>
          <w:p>
            <w:pPr>
              <w:pStyle w:val="TableParagraph"/>
              <w:rPr>
                <w:rFonts w:ascii="Times New Roman"/>
                <w:sz w:val="18"/>
              </w:rPr>
            </w:pPr>
          </w:p>
        </w:tc>
      </w:tr>
      <w:tr>
        <w:trPr>
          <w:trHeight w:val="1420" w:hRule="atLeast"/>
        </w:trPr>
        <w:tc>
          <w:tcPr>
            <w:tcW w:w="3517" w:type="dxa"/>
          </w:tcPr>
          <w:p>
            <w:pPr>
              <w:pStyle w:val="TableParagraph"/>
              <w:rPr>
                <w:b w:val="0"/>
                <w:sz w:val="24"/>
              </w:rPr>
            </w:pPr>
          </w:p>
          <w:p>
            <w:pPr>
              <w:pStyle w:val="TableParagraph"/>
              <w:spacing w:before="4"/>
              <w:rPr>
                <w:b w:val="0"/>
                <w:sz w:val="26"/>
              </w:rPr>
            </w:pPr>
          </w:p>
          <w:p>
            <w:pPr>
              <w:pStyle w:val="TableParagraph"/>
              <w:spacing w:before="1"/>
              <w:ind w:left="200" w:right="2066"/>
              <w:rPr>
                <w:b w:val="0"/>
                <w:sz w:val="18"/>
              </w:rPr>
            </w:pPr>
            <w:r>
              <w:rPr>
                <w:b w:val="0"/>
                <w:sz w:val="18"/>
              </w:rPr>
              <w:t>School Finance (785) 296-3872</w:t>
            </w:r>
          </w:p>
        </w:tc>
        <w:tc>
          <w:tcPr>
            <w:tcW w:w="5407" w:type="dxa"/>
          </w:tcPr>
          <w:p>
            <w:pPr>
              <w:pStyle w:val="TableParagraph"/>
              <w:spacing w:before="5"/>
              <w:rPr>
                <w:b w:val="0"/>
                <w:sz w:val="32"/>
              </w:rPr>
            </w:pPr>
          </w:p>
          <w:p>
            <w:pPr>
              <w:pStyle w:val="TableParagraph"/>
              <w:ind w:left="2085" w:right="184"/>
              <w:rPr>
                <w:b w:val="0"/>
                <w:sz w:val="18"/>
              </w:rPr>
            </w:pPr>
            <w:r>
              <w:rPr>
                <w:b w:val="0"/>
                <w:sz w:val="18"/>
              </w:rPr>
              <w:t>Kansas State Department of Education 900 S.W. Jackson Street, Suite 356</w:t>
            </w:r>
          </w:p>
          <w:p>
            <w:pPr>
              <w:pStyle w:val="TableParagraph"/>
              <w:spacing w:line="244" w:lineRule="exact"/>
              <w:ind w:left="2085"/>
              <w:rPr>
                <w:b w:val="0"/>
                <w:sz w:val="18"/>
              </w:rPr>
            </w:pPr>
            <w:r>
              <w:rPr>
                <w:b w:val="0"/>
                <w:sz w:val="18"/>
              </w:rPr>
              <w:t>Topeka, Kansas 66612-1212</w:t>
            </w:r>
          </w:p>
          <w:p>
            <w:pPr>
              <w:pStyle w:val="TableParagraph"/>
              <w:spacing w:line="225" w:lineRule="exact"/>
              <w:ind w:left="2085"/>
              <w:rPr>
                <w:b w:val="0"/>
                <w:sz w:val="18"/>
              </w:rPr>
            </w:pPr>
            <w:hyperlink r:id="rId41">
              <w:r>
                <w:rPr>
                  <w:b w:val="0"/>
                  <w:color w:val="12284B"/>
                  <w:sz w:val="18"/>
                  <w:u w:val="single" w:color="12284B"/>
                </w:rPr>
                <w:t>www.ksde.org</w:t>
              </w:r>
            </w:hyperlink>
          </w:p>
        </w:tc>
      </w:tr>
    </w:tbl>
    <w:sectPr>
      <w:headerReference w:type="default" r:id="rId38"/>
      <w:footerReference w:type="default" r:id="rId39"/>
      <w:pgSz w:w="12240" w:h="15840"/>
      <w:pgMar w:header="0" w:footer="0" w:top="1500" w:bottom="280" w:left="11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Open Sans">
    <w:altName w:val="Open Sans"/>
    <w:charset w:val="0"/>
    <w:family w:val="swiss"/>
    <w:pitch w:val="variable"/>
  </w:font>
  <w:font w:name="Wingdings">
    <w:altName w:val="Wingdings"/>
    <w:charset w:val="2"/>
    <w:family w:val="auto"/>
    <w:pitch w:val="variable"/>
  </w:font>
  <w:font w:name="Symbol">
    <w:altName w:val="Symbol"/>
    <w:charset w:val="2"/>
    <w:family w:val="roman"/>
    <w:pitch w:val="variable"/>
  </w:font>
  <w:font w:name="Open Sans Semibold">
    <w:altName w:val="Open Sans Semibold"/>
    <w:charset w:val="0"/>
    <w:family w:val="swiss"/>
    <w:pitch w:val="variable"/>
  </w:font>
  <w:font w:name="Open Sans Light">
    <w:altName w:val="Open Sans Light"/>
    <w:charset w:val="0"/>
    <w:family w:val="swiss"/>
    <w:pitch w:val="variable"/>
  </w:font>
  <w:font w:name="Cambria Math">
    <w:altName w:val="Cambria Math"/>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pt;margin-top:723.606445pt;width:10.6pt;height:12.95pt;mso-position-horizontal-relative:page;mso-position-vertical-relative:page;z-index:-252459008" type="#_x0000_t202" filled="false" stroked="false">
          <v:textbox inset="0,0,0,0">
            <w:txbxContent>
              <w:p>
                <w:pPr>
                  <w:spacing w:before="21"/>
                  <w:ind w:left="60" w:right="0" w:firstLine="0"/>
                  <w:jc w:val="left"/>
                  <w:rPr>
                    <w:b w:val="0"/>
                    <w:sz w:val="16"/>
                  </w:rPr>
                </w:pPr>
                <w:r>
                  <w:rPr/>
                  <w:fldChar w:fldCharType="begin"/>
                </w:r>
                <w:r>
                  <w:rPr>
                    <w:b w:val="0"/>
                    <w:w w:val="100"/>
                    <w:sz w:val="16"/>
                  </w:rPr>
                  <w:instrText> PAGE </w:instrText>
                </w:r>
                <w:r>
                  <w:rPr/>
                  <w:fldChar w:fldCharType="separate"/>
                </w:r>
                <w:r>
                  <w:rPr/>
                  <w:t>2</w:t>
                </w:r>
                <w:r>
                  <w:rPr/>
                  <w:fldChar w:fldCharType="end"/>
                </w:r>
              </w:p>
            </w:txbxContent>
          </v:textbox>
          <w10:wrap type="none"/>
        </v:shape>
      </w:pict>
    </w:r>
    <w:r>
      <w:rPr/>
      <w:pict>
        <v:shape style="position:absolute;margin-left:341.956055pt;margin-top:723.606445pt;width:199.05pt;height:12.95pt;mso-position-horizontal-relative:page;mso-position-vertical-relative:page;z-index:-252457984" type="#_x0000_t202" filled="false" stroked="false">
          <v:textbox inset="0,0,0,0">
            <w:txbxContent>
              <w:p>
                <w:pPr>
                  <w:spacing w:before="21"/>
                  <w:ind w:left="20" w:right="0" w:firstLine="0"/>
                  <w:jc w:val="left"/>
                  <w:rPr>
                    <w:b w:val="0"/>
                    <w:sz w:val="16"/>
                  </w:rPr>
                </w:pPr>
                <w:r>
                  <w:rPr>
                    <w:b w:val="0"/>
                    <w:sz w:val="16"/>
                  </w:rPr>
                  <w:t>Kansas State Department of Education | </w:t>
                </w:r>
                <w:hyperlink r:id="rId1">
                  <w:r>
                    <w:rPr>
                      <w:b w:val="0"/>
                      <w:color w:val="12284B"/>
                      <w:sz w:val="16"/>
                      <w:u w:val="single" w:color="12284B"/>
                    </w:rPr>
                    <w:t>www.ksde.org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pt;margin-top:723.606445pt;width:10.6pt;height:12.95pt;mso-position-horizontal-relative:page;mso-position-vertical-relative:page;z-index:-252455936" type="#_x0000_t202" filled="false" stroked="false">
          <v:textbox inset="0,0,0,0">
            <w:txbxContent>
              <w:p>
                <w:pPr>
                  <w:spacing w:before="21"/>
                  <w:ind w:left="60" w:right="0" w:firstLine="0"/>
                  <w:jc w:val="left"/>
                  <w:rPr>
                    <w:b w:val="0"/>
                    <w:sz w:val="16"/>
                  </w:rPr>
                </w:pPr>
                <w:r>
                  <w:rPr/>
                  <w:fldChar w:fldCharType="begin"/>
                </w:r>
                <w:r>
                  <w:rPr>
                    <w:b w:val="0"/>
                    <w:w w:val="100"/>
                    <w:sz w:val="16"/>
                  </w:rPr>
                  <w:instrText> PAGE </w:instrText>
                </w:r>
                <w:r>
                  <w:rPr/>
                  <w:fldChar w:fldCharType="separate"/>
                </w:r>
                <w:r>
                  <w:rPr/>
                  <w:t>4</w:t>
                </w:r>
                <w:r>
                  <w:rPr/>
                  <w:fldChar w:fldCharType="end"/>
                </w:r>
              </w:p>
            </w:txbxContent>
          </v:textbox>
          <w10:wrap type="none"/>
        </v:shape>
      </w:pict>
    </w:r>
    <w:r>
      <w:rPr/>
      <w:pict>
        <v:shape style="position:absolute;margin-left:341.956055pt;margin-top:723.606445pt;width:199.05pt;height:12.95pt;mso-position-horizontal-relative:page;mso-position-vertical-relative:page;z-index:-252454912" type="#_x0000_t202" filled="false" stroked="false">
          <v:textbox inset="0,0,0,0">
            <w:txbxContent>
              <w:p>
                <w:pPr>
                  <w:spacing w:before="21"/>
                  <w:ind w:left="20" w:right="0" w:firstLine="0"/>
                  <w:jc w:val="left"/>
                  <w:rPr>
                    <w:b w:val="0"/>
                    <w:sz w:val="16"/>
                  </w:rPr>
                </w:pPr>
                <w:r>
                  <w:rPr>
                    <w:b w:val="0"/>
                    <w:sz w:val="16"/>
                  </w:rPr>
                  <w:t>Kansas State Department of Education | </w:t>
                </w:r>
                <w:hyperlink r:id="rId1">
                  <w:r>
                    <w:rPr>
                      <w:b w:val="0"/>
                      <w:color w:val="12284B"/>
                      <w:sz w:val="16"/>
                      <w:u w:val="single" w:color="12284B"/>
                    </w:rPr>
                    <w:t>www.ksde.org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pt;margin-top:723.606445pt;width:10.6pt;height:12.95pt;mso-position-horizontal-relative:page;mso-position-vertical-relative:page;z-index:-252452864" type="#_x0000_t202" filled="false" stroked="false">
          <v:textbox inset="0,0,0,0">
            <w:txbxContent>
              <w:p>
                <w:pPr>
                  <w:spacing w:before="21"/>
                  <w:ind w:left="60" w:right="0" w:firstLine="0"/>
                  <w:jc w:val="left"/>
                  <w:rPr>
                    <w:b w:val="0"/>
                    <w:sz w:val="16"/>
                  </w:rPr>
                </w:pPr>
                <w:r>
                  <w:rPr/>
                  <w:fldChar w:fldCharType="begin"/>
                </w:r>
                <w:r>
                  <w:rPr>
                    <w:b w:val="0"/>
                    <w:w w:val="100"/>
                    <w:sz w:val="16"/>
                  </w:rPr>
                  <w:instrText> PAGE </w:instrText>
                </w:r>
                <w:r>
                  <w:rPr/>
                  <w:fldChar w:fldCharType="separate"/>
                </w:r>
                <w:r>
                  <w:rPr/>
                  <w:t>6</w:t>
                </w:r>
                <w:r>
                  <w:rPr/>
                  <w:fldChar w:fldCharType="end"/>
                </w:r>
              </w:p>
            </w:txbxContent>
          </v:textbox>
          <w10:wrap type="none"/>
        </v:shape>
      </w:pict>
    </w:r>
    <w:r>
      <w:rPr/>
      <w:pict>
        <v:shape style="position:absolute;margin-left:341.956055pt;margin-top:723.606445pt;width:199.05pt;height:12.95pt;mso-position-horizontal-relative:page;mso-position-vertical-relative:page;z-index:-252451840" type="#_x0000_t202" filled="false" stroked="false">
          <v:textbox inset="0,0,0,0">
            <w:txbxContent>
              <w:p>
                <w:pPr>
                  <w:spacing w:before="21"/>
                  <w:ind w:left="20" w:right="0" w:firstLine="0"/>
                  <w:jc w:val="left"/>
                  <w:rPr>
                    <w:b w:val="0"/>
                    <w:sz w:val="16"/>
                  </w:rPr>
                </w:pPr>
                <w:r>
                  <w:rPr>
                    <w:b w:val="0"/>
                    <w:sz w:val="16"/>
                  </w:rPr>
                  <w:t>Kansas State Department of Education | </w:t>
                </w:r>
                <w:hyperlink r:id="rId1">
                  <w:r>
                    <w:rPr>
                      <w:b w:val="0"/>
                      <w:color w:val="12284B"/>
                      <w:sz w:val="16"/>
                      <w:u w:val="single" w:color="12284B"/>
                    </w:rPr>
                    <w:t>www.ksde.org</w:t>
                  </w:r>
                </w:hyperlink>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pt;margin-top:723.606445pt;width:10.6pt;height:12.95pt;mso-position-horizontal-relative:page;mso-position-vertical-relative:page;z-index:-252449792" type="#_x0000_t202" filled="false" stroked="false">
          <v:textbox inset="0,0,0,0">
            <w:txbxContent>
              <w:p>
                <w:pPr>
                  <w:spacing w:before="21"/>
                  <w:ind w:left="60" w:right="0" w:firstLine="0"/>
                  <w:jc w:val="left"/>
                  <w:rPr>
                    <w:b w:val="0"/>
                    <w:sz w:val="16"/>
                  </w:rPr>
                </w:pPr>
                <w:r>
                  <w:rPr/>
                  <w:fldChar w:fldCharType="begin"/>
                </w:r>
                <w:r>
                  <w:rPr>
                    <w:b w:val="0"/>
                    <w:w w:val="100"/>
                    <w:sz w:val="16"/>
                  </w:rPr>
                  <w:instrText> PAGE </w:instrText>
                </w:r>
                <w:r>
                  <w:rPr/>
                  <w:fldChar w:fldCharType="separate"/>
                </w:r>
                <w:r>
                  <w:rPr/>
                  <w:t>7</w:t>
                </w:r>
                <w:r>
                  <w:rPr/>
                  <w:fldChar w:fldCharType="end"/>
                </w:r>
              </w:p>
            </w:txbxContent>
          </v:textbox>
          <w10:wrap type="none"/>
        </v:shape>
      </w:pict>
    </w:r>
    <w:r>
      <w:rPr/>
      <w:pict>
        <v:shape style="position:absolute;margin-left:341.956055pt;margin-top:723.606445pt;width:199.05pt;height:12.95pt;mso-position-horizontal-relative:page;mso-position-vertical-relative:page;z-index:-252448768" type="#_x0000_t202" filled="false" stroked="false">
          <v:textbox inset="0,0,0,0">
            <w:txbxContent>
              <w:p>
                <w:pPr>
                  <w:spacing w:before="21"/>
                  <w:ind w:left="20" w:right="0" w:firstLine="0"/>
                  <w:jc w:val="left"/>
                  <w:rPr>
                    <w:b w:val="0"/>
                    <w:sz w:val="16"/>
                  </w:rPr>
                </w:pPr>
                <w:r>
                  <w:rPr>
                    <w:b w:val="0"/>
                    <w:sz w:val="16"/>
                  </w:rPr>
                  <w:t>Kansas State Department of Education | </w:t>
                </w:r>
                <w:hyperlink r:id="rId1">
                  <w:r>
                    <w:rPr>
                      <w:b w:val="0"/>
                      <w:color w:val="12284B"/>
                      <w:sz w:val="16"/>
                      <w:u w:val="single" w:color="12284B"/>
                    </w:rPr>
                    <w:t>www.ksde.org</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pt;margin-top:723.606445pt;width:15.15pt;height:12.95pt;mso-position-horizontal-relative:page;mso-position-vertical-relative:page;z-index:-252446720" type="#_x0000_t202" filled="false" stroked="false">
          <v:textbox inset="0,0,0,0">
            <w:txbxContent>
              <w:p>
                <w:pPr>
                  <w:spacing w:before="21"/>
                  <w:ind w:left="60" w:right="0" w:firstLine="0"/>
                  <w:jc w:val="left"/>
                  <w:rPr>
                    <w:b w:val="0"/>
                    <w:sz w:val="16"/>
                  </w:rPr>
                </w:pPr>
                <w:r>
                  <w:rPr/>
                  <w:fldChar w:fldCharType="begin"/>
                </w:r>
                <w:r>
                  <w:rPr>
                    <w:b w:val="0"/>
                    <w:sz w:val="16"/>
                  </w:rPr>
                  <w:instrText> PAGE </w:instrText>
                </w:r>
                <w:r>
                  <w:rPr/>
                  <w:fldChar w:fldCharType="separate"/>
                </w:r>
                <w:r>
                  <w:rPr/>
                  <w:t>10</w:t>
                </w:r>
                <w:r>
                  <w:rPr/>
                  <w:fldChar w:fldCharType="end"/>
                </w:r>
              </w:p>
            </w:txbxContent>
          </v:textbox>
          <w10:wrap type="none"/>
        </v:shape>
      </w:pict>
    </w:r>
    <w:r>
      <w:rPr/>
      <w:pict>
        <v:shape style="position:absolute;margin-left:341.956055pt;margin-top:723.606445pt;width:199.05pt;height:12.95pt;mso-position-horizontal-relative:page;mso-position-vertical-relative:page;z-index:-252445696" type="#_x0000_t202" filled="false" stroked="false">
          <v:textbox inset="0,0,0,0">
            <w:txbxContent>
              <w:p>
                <w:pPr>
                  <w:spacing w:before="21"/>
                  <w:ind w:left="20" w:right="0" w:firstLine="0"/>
                  <w:jc w:val="left"/>
                  <w:rPr>
                    <w:b w:val="0"/>
                    <w:sz w:val="16"/>
                  </w:rPr>
                </w:pPr>
                <w:r>
                  <w:rPr>
                    <w:b w:val="0"/>
                    <w:sz w:val="16"/>
                  </w:rPr>
                  <w:t>Kansas State Department of Education | </w:t>
                </w:r>
                <w:hyperlink r:id="rId1">
                  <w:r>
                    <w:rPr>
                      <w:b w:val="0"/>
                      <w:color w:val="12284B"/>
                      <w:sz w:val="16"/>
                      <w:u w:val="single" w:color="12284B"/>
                    </w:rPr>
                    <w:t>www.ksde.org</w:t>
                  </w:r>
                </w:hyperlink>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pt;margin-top:723.606445pt;width:15.15pt;height:12.95pt;mso-position-horizontal-relative:page;mso-position-vertical-relative:page;z-index:-252443648" type="#_x0000_t202" filled="false" stroked="false">
          <v:textbox inset="0,0,0,0">
            <w:txbxContent>
              <w:p>
                <w:pPr>
                  <w:spacing w:before="21"/>
                  <w:ind w:left="60" w:right="0" w:firstLine="0"/>
                  <w:jc w:val="left"/>
                  <w:rPr>
                    <w:b w:val="0"/>
                    <w:sz w:val="16"/>
                  </w:rPr>
                </w:pPr>
                <w:r>
                  <w:rPr/>
                  <w:fldChar w:fldCharType="begin"/>
                </w:r>
                <w:r>
                  <w:rPr>
                    <w:b w:val="0"/>
                    <w:sz w:val="16"/>
                  </w:rPr>
                  <w:instrText> PAGE </w:instrText>
                </w:r>
                <w:r>
                  <w:rPr/>
                  <w:fldChar w:fldCharType="separate"/>
                </w:r>
                <w:r>
                  <w:rPr/>
                  <w:t>11</w:t>
                </w:r>
                <w:r>
                  <w:rPr/>
                  <w:fldChar w:fldCharType="end"/>
                </w:r>
              </w:p>
            </w:txbxContent>
          </v:textbox>
          <w10:wrap type="none"/>
        </v:shape>
      </w:pict>
    </w:r>
    <w:r>
      <w:rPr/>
      <w:pict>
        <v:shape style="position:absolute;margin-left:341.956055pt;margin-top:723.606445pt;width:199.05pt;height:12.95pt;mso-position-horizontal-relative:page;mso-position-vertical-relative:page;z-index:-252442624" type="#_x0000_t202" filled="false" stroked="false">
          <v:textbox inset="0,0,0,0">
            <w:txbxContent>
              <w:p>
                <w:pPr>
                  <w:spacing w:before="21"/>
                  <w:ind w:left="20" w:right="0" w:firstLine="0"/>
                  <w:jc w:val="left"/>
                  <w:rPr>
                    <w:b w:val="0"/>
                    <w:sz w:val="16"/>
                  </w:rPr>
                </w:pPr>
                <w:r>
                  <w:rPr>
                    <w:b w:val="0"/>
                    <w:sz w:val="16"/>
                  </w:rPr>
                  <w:t>Kansas State Department of Education | </w:t>
                </w:r>
                <w:hyperlink r:id="rId1">
                  <w:r>
                    <w:rPr>
                      <w:b w:val="0"/>
                      <w:color w:val="12284B"/>
                      <w:sz w:val="16"/>
                      <w:u w:val="single" w:color="12284B"/>
                    </w:rPr>
                    <w:t>www.ksde.org</w:t>
                  </w:r>
                </w:hyperlink>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pt;margin-top:723.606445pt;width:15.15pt;height:12.95pt;mso-position-horizontal-relative:page;mso-position-vertical-relative:page;z-index:-252440576" type="#_x0000_t202" filled="false" stroked="false">
          <v:textbox inset="0,0,0,0">
            <w:txbxContent>
              <w:p>
                <w:pPr>
                  <w:spacing w:before="21"/>
                  <w:ind w:left="60" w:right="0" w:firstLine="0"/>
                  <w:jc w:val="left"/>
                  <w:rPr>
                    <w:b w:val="0"/>
                    <w:sz w:val="16"/>
                  </w:rPr>
                </w:pPr>
                <w:r>
                  <w:rPr/>
                  <w:fldChar w:fldCharType="begin"/>
                </w:r>
                <w:r>
                  <w:rPr>
                    <w:b w:val="0"/>
                    <w:sz w:val="16"/>
                  </w:rPr>
                  <w:instrText> PAGE </w:instrText>
                </w:r>
                <w:r>
                  <w:rPr/>
                  <w:fldChar w:fldCharType="separate"/>
                </w:r>
                <w:r>
                  <w:rPr/>
                  <w:t>12</w:t>
                </w:r>
                <w:r>
                  <w:rPr/>
                  <w:fldChar w:fldCharType="end"/>
                </w:r>
              </w:p>
            </w:txbxContent>
          </v:textbox>
          <w10:wrap type="none"/>
        </v:shape>
      </w:pict>
    </w:r>
    <w:r>
      <w:rPr/>
      <w:pict>
        <v:shape style="position:absolute;margin-left:341.956055pt;margin-top:723.606445pt;width:199.05pt;height:12.95pt;mso-position-horizontal-relative:page;mso-position-vertical-relative:page;z-index:-252439552" type="#_x0000_t202" filled="false" stroked="false">
          <v:textbox inset="0,0,0,0">
            <w:txbxContent>
              <w:p>
                <w:pPr>
                  <w:spacing w:before="21"/>
                  <w:ind w:left="20" w:right="0" w:firstLine="0"/>
                  <w:jc w:val="left"/>
                  <w:rPr>
                    <w:b w:val="0"/>
                    <w:sz w:val="16"/>
                  </w:rPr>
                </w:pPr>
                <w:r>
                  <w:rPr>
                    <w:b w:val="0"/>
                    <w:sz w:val="16"/>
                  </w:rPr>
                  <w:t>Kansas State Department of Education | </w:t>
                </w:r>
                <w:hyperlink r:id="rId1">
                  <w:r>
                    <w:rPr>
                      <w:b w:val="0"/>
                      <w:color w:val="12284B"/>
                      <w:sz w:val="16"/>
                      <w:u w:val="single" w:color="12284B"/>
                    </w:rPr>
                    <w:t>www.ksde.org</w:t>
                  </w:r>
                </w:hyperlink>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8.280739pt;width:460.1pt;height:26.55pt;mso-position-horizontal-relative:page;mso-position-vertical-relative:page;z-index:-252456960" type="#_x0000_t202" filled="false" stroked="false">
          <v:textbox inset="0,0,0,0">
            <w:txbxContent>
              <w:p>
                <w:pPr>
                  <w:spacing w:before="20"/>
                  <w:ind w:left="20" w:right="0" w:firstLine="0"/>
                  <w:jc w:val="left"/>
                  <w:rPr>
                    <w:b w:val="0"/>
                    <w:sz w:val="36"/>
                  </w:rPr>
                </w:pPr>
                <w:r>
                  <w:rPr>
                    <w:b w:val="0"/>
                    <w:color w:val="12284B"/>
                    <w:sz w:val="36"/>
                  </w:rPr>
                  <w:t>State Foundation Aid &amp; Supplemental General State Aid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9.326466pt;width:293.3pt;height:12.95pt;mso-position-horizontal-relative:page;mso-position-vertical-relative:page;z-index:-252453888" type="#_x0000_t202" filled="false" stroked="false">
          <v:textbox inset="0,0,0,0">
            <w:txbxContent>
              <w:p>
                <w:pPr>
                  <w:spacing w:before="21"/>
                  <w:ind w:left="20" w:right="0" w:firstLine="0"/>
                  <w:jc w:val="left"/>
                  <w:rPr>
                    <w:b w:val="0"/>
                    <w:sz w:val="16"/>
                  </w:rPr>
                </w:pPr>
                <w:r>
                  <w:rPr>
                    <w:b w:val="0"/>
                    <w:color w:val="2D2E31"/>
                    <w:sz w:val="16"/>
                  </w:rPr>
                  <w:t>GLOSSARY | STATE FOUNDATION AID &amp; SUPPLEMENTAL GENERAL STATE AID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9.326466pt;width:321.3pt;height:12.95pt;mso-position-horizontal-relative:page;mso-position-vertical-relative:page;z-index:-252450816" type="#_x0000_t202" filled="false" stroked="false">
          <v:textbox inset="0,0,0,0">
            <w:txbxContent>
              <w:p>
                <w:pPr>
                  <w:spacing w:before="21"/>
                  <w:ind w:left="20" w:right="0" w:firstLine="0"/>
                  <w:jc w:val="left"/>
                  <w:rPr>
                    <w:b w:val="0"/>
                    <w:sz w:val="16"/>
                  </w:rPr>
                </w:pPr>
                <w:r>
                  <w:rPr>
                    <w:b w:val="0"/>
                    <w:color w:val="2D2E31"/>
                    <w:sz w:val="16"/>
                  </w:rPr>
                  <w:t>FTE ENROLLMENT | STATE FOUNDATION AID &amp; SUPPLEMENTAL GENERAL STATE AID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9.326466pt;width:409.95pt;height:12.95pt;mso-position-horizontal-relative:page;mso-position-vertical-relative:page;z-index:-252447744" type="#_x0000_t202" filled="false" stroked="false">
          <v:textbox inset="0,0,0,0">
            <w:txbxContent>
              <w:p>
                <w:pPr>
                  <w:spacing w:before="21"/>
                  <w:ind w:left="20" w:right="0" w:firstLine="0"/>
                  <w:jc w:val="left"/>
                  <w:rPr>
                    <w:b w:val="0"/>
                    <w:sz w:val="16"/>
                  </w:rPr>
                </w:pPr>
                <w:r>
                  <w:rPr>
                    <w:b w:val="0"/>
                    <w:color w:val="2D2E31"/>
                    <w:sz w:val="16"/>
                  </w:rPr>
                  <w:t>WEIGHTED (ADJUSTED) FTE ENROLLMENT | STATE FOUNDATION AID &amp; SUPPLEMENTAL GENERAL STATE AID</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9.326466pt;width:413.8pt;height:12.95pt;mso-position-horizontal-relative:page;mso-position-vertical-relative:page;z-index:-252444672" type="#_x0000_t202" filled="false" stroked="false">
          <v:textbox inset="0,0,0,0">
            <w:txbxContent>
              <w:p>
                <w:pPr>
                  <w:spacing w:before="21"/>
                  <w:ind w:left="20" w:right="0" w:firstLine="0"/>
                  <w:jc w:val="left"/>
                  <w:rPr>
                    <w:b w:val="0"/>
                    <w:sz w:val="16"/>
                  </w:rPr>
                </w:pPr>
                <w:r>
                  <w:rPr>
                    <w:b w:val="0"/>
                    <w:color w:val="2D2E31"/>
                    <w:sz w:val="16"/>
                  </w:rPr>
                  <w:t>STATE FOUNDATION (GENERAL STATE) AID | STATE FOUNDATION AID &amp; SUPPLEMENTAL GENERAL STATE AID</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49.326466pt;width:392.2pt;height:12.95pt;mso-position-horizontal-relative:page;mso-position-vertical-relative:page;z-index:-252441600" type="#_x0000_t202" filled="false" stroked="false">
          <v:textbox inset="0,0,0,0">
            <w:txbxContent>
              <w:p>
                <w:pPr>
                  <w:spacing w:before="21"/>
                  <w:ind w:left="20" w:right="0" w:firstLine="0"/>
                  <w:jc w:val="left"/>
                  <w:rPr>
                    <w:b w:val="0"/>
                    <w:sz w:val="16"/>
                  </w:rPr>
                </w:pPr>
                <w:r>
                  <w:rPr>
                    <w:b w:val="0"/>
                    <w:color w:val="2D2E31"/>
                    <w:sz w:val="16"/>
                  </w:rPr>
                  <w:t>SUPPLEMENTAL GENERAL STATE AID | STATE FOUNDATION AID &amp; SUPPLEMENTAL GENERAL STATE AID</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00" w:hanging="361"/>
      </w:pPr>
      <w:rPr>
        <w:rFonts w:hint="default" w:ascii="Symbol" w:hAnsi="Symbol" w:eastAsia="Symbol" w:cs="Symbol"/>
        <w:w w:val="100"/>
        <w:sz w:val="22"/>
        <w:szCs w:val="22"/>
        <w:lang w:val="en-us" w:eastAsia="en-us" w:bidi="en-us"/>
      </w:rPr>
    </w:lvl>
    <w:lvl w:ilvl="1">
      <w:start w:val="0"/>
      <w:numFmt w:val="bullet"/>
      <w:lvlText w:val="o"/>
      <w:lvlJc w:val="left"/>
      <w:pPr>
        <w:ind w:left="1340" w:hanging="361"/>
      </w:pPr>
      <w:rPr>
        <w:rFonts w:hint="default" w:ascii="Courier New" w:hAnsi="Courier New" w:eastAsia="Courier New" w:cs="Courier New"/>
        <w:w w:val="100"/>
        <w:sz w:val="22"/>
        <w:szCs w:val="22"/>
        <w:lang w:val="en-us" w:eastAsia="en-us" w:bidi="en-us"/>
      </w:rPr>
    </w:lvl>
    <w:lvl w:ilvl="2">
      <w:start w:val="0"/>
      <w:numFmt w:val="bullet"/>
      <w:lvlText w:val=""/>
      <w:lvlJc w:val="left"/>
      <w:pPr>
        <w:ind w:left="1880" w:hanging="361"/>
      </w:pPr>
      <w:rPr>
        <w:rFonts w:hint="default" w:ascii="Wingdings" w:hAnsi="Wingdings" w:eastAsia="Wingdings" w:cs="Wingdings"/>
        <w:w w:val="100"/>
        <w:sz w:val="22"/>
        <w:szCs w:val="22"/>
        <w:lang w:val="en-us" w:eastAsia="en-us" w:bidi="en-us"/>
      </w:rPr>
    </w:lvl>
    <w:lvl w:ilvl="3">
      <w:start w:val="0"/>
      <w:numFmt w:val="bullet"/>
      <w:lvlText w:val=""/>
      <w:lvlJc w:val="left"/>
      <w:pPr>
        <w:ind w:left="2420" w:hanging="361"/>
      </w:pPr>
      <w:rPr>
        <w:rFonts w:hint="default" w:ascii="Symbol" w:hAnsi="Symbol" w:eastAsia="Symbol" w:cs="Symbol"/>
        <w:w w:val="100"/>
        <w:sz w:val="22"/>
        <w:szCs w:val="22"/>
        <w:lang w:val="en-us" w:eastAsia="en-us" w:bidi="en-us"/>
      </w:rPr>
    </w:lvl>
    <w:lvl w:ilvl="4">
      <w:start w:val="0"/>
      <w:numFmt w:val="bullet"/>
      <w:lvlText w:val="•"/>
      <w:lvlJc w:val="left"/>
      <w:pPr>
        <w:ind w:left="1880" w:hanging="361"/>
      </w:pPr>
      <w:rPr>
        <w:rFonts w:hint="default"/>
        <w:lang w:val="en-us" w:eastAsia="en-us" w:bidi="en-us"/>
      </w:rPr>
    </w:lvl>
    <w:lvl w:ilvl="5">
      <w:start w:val="0"/>
      <w:numFmt w:val="bullet"/>
      <w:lvlText w:val="•"/>
      <w:lvlJc w:val="left"/>
      <w:pPr>
        <w:ind w:left="2420" w:hanging="361"/>
      </w:pPr>
      <w:rPr>
        <w:rFonts w:hint="default"/>
        <w:lang w:val="en-us" w:eastAsia="en-us" w:bidi="en-us"/>
      </w:rPr>
    </w:lvl>
    <w:lvl w:ilvl="6">
      <w:start w:val="0"/>
      <w:numFmt w:val="bullet"/>
      <w:lvlText w:val="•"/>
      <w:lvlJc w:val="left"/>
      <w:pPr>
        <w:ind w:left="3916" w:hanging="361"/>
      </w:pPr>
      <w:rPr>
        <w:rFonts w:hint="default"/>
        <w:lang w:val="en-us" w:eastAsia="en-us" w:bidi="en-us"/>
      </w:rPr>
    </w:lvl>
    <w:lvl w:ilvl="7">
      <w:start w:val="0"/>
      <w:numFmt w:val="bullet"/>
      <w:lvlText w:val="•"/>
      <w:lvlJc w:val="left"/>
      <w:pPr>
        <w:ind w:left="5412" w:hanging="361"/>
      </w:pPr>
      <w:rPr>
        <w:rFonts w:hint="default"/>
        <w:lang w:val="en-us" w:eastAsia="en-us" w:bidi="en-us"/>
      </w:rPr>
    </w:lvl>
    <w:lvl w:ilvl="8">
      <w:start w:val="0"/>
      <w:numFmt w:val="bullet"/>
      <w:lvlText w:val="•"/>
      <w:lvlJc w:val="left"/>
      <w:pPr>
        <w:ind w:left="6908" w:hanging="361"/>
      </w:pPr>
      <w:rPr>
        <w:rFonts w:hint="default"/>
        <w:lang w:val="en-us" w:eastAsia="en-us" w:bidi="en-us"/>
      </w:rPr>
    </w:lvl>
  </w:abstractNum>
  <w:abstractNum w:abstractNumId="1">
    <w:multiLevelType w:val="hybridMultilevel"/>
    <w:lvl w:ilvl="0">
      <w:start w:val="0"/>
      <w:numFmt w:val="bullet"/>
      <w:lvlText w:val=""/>
      <w:lvlJc w:val="left"/>
      <w:pPr>
        <w:ind w:left="980" w:hanging="361"/>
      </w:pPr>
      <w:rPr>
        <w:rFonts w:hint="default" w:ascii="Symbol" w:hAnsi="Symbol" w:eastAsia="Symbol" w:cs="Symbol"/>
        <w:w w:val="100"/>
        <w:sz w:val="22"/>
        <w:szCs w:val="22"/>
        <w:lang w:val="en-us" w:eastAsia="en-us" w:bidi="en-us"/>
      </w:rPr>
    </w:lvl>
    <w:lvl w:ilvl="1">
      <w:start w:val="0"/>
      <w:numFmt w:val="bullet"/>
      <w:lvlText w:val="•"/>
      <w:lvlJc w:val="left"/>
      <w:pPr>
        <w:ind w:left="1520" w:hanging="361"/>
      </w:pPr>
      <w:rPr>
        <w:rFonts w:hint="default"/>
        <w:lang w:val="en-us" w:eastAsia="en-us" w:bidi="en-us"/>
      </w:rPr>
    </w:lvl>
    <w:lvl w:ilvl="2">
      <w:start w:val="0"/>
      <w:numFmt w:val="bullet"/>
      <w:lvlText w:val="•"/>
      <w:lvlJc w:val="left"/>
      <w:pPr>
        <w:ind w:left="2451" w:hanging="361"/>
      </w:pPr>
      <w:rPr>
        <w:rFonts w:hint="default"/>
        <w:lang w:val="en-us" w:eastAsia="en-us" w:bidi="en-us"/>
      </w:rPr>
    </w:lvl>
    <w:lvl w:ilvl="3">
      <w:start w:val="0"/>
      <w:numFmt w:val="bullet"/>
      <w:lvlText w:val="•"/>
      <w:lvlJc w:val="left"/>
      <w:pPr>
        <w:ind w:left="3382" w:hanging="361"/>
      </w:pPr>
      <w:rPr>
        <w:rFonts w:hint="default"/>
        <w:lang w:val="en-us" w:eastAsia="en-us" w:bidi="en-us"/>
      </w:rPr>
    </w:lvl>
    <w:lvl w:ilvl="4">
      <w:start w:val="0"/>
      <w:numFmt w:val="bullet"/>
      <w:lvlText w:val="•"/>
      <w:lvlJc w:val="left"/>
      <w:pPr>
        <w:ind w:left="4313" w:hanging="361"/>
      </w:pPr>
      <w:rPr>
        <w:rFonts w:hint="default"/>
        <w:lang w:val="en-us" w:eastAsia="en-us" w:bidi="en-us"/>
      </w:rPr>
    </w:lvl>
    <w:lvl w:ilvl="5">
      <w:start w:val="0"/>
      <w:numFmt w:val="bullet"/>
      <w:lvlText w:val="•"/>
      <w:lvlJc w:val="left"/>
      <w:pPr>
        <w:ind w:left="5244" w:hanging="361"/>
      </w:pPr>
      <w:rPr>
        <w:rFonts w:hint="default"/>
        <w:lang w:val="en-us" w:eastAsia="en-us" w:bidi="en-us"/>
      </w:rPr>
    </w:lvl>
    <w:lvl w:ilvl="6">
      <w:start w:val="0"/>
      <w:numFmt w:val="bullet"/>
      <w:lvlText w:val="•"/>
      <w:lvlJc w:val="left"/>
      <w:pPr>
        <w:ind w:left="6175" w:hanging="361"/>
      </w:pPr>
      <w:rPr>
        <w:rFonts w:hint="default"/>
        <w:lang w:val="en-us" w:eastAsia="en-us" w:bidi="en-us"/>
      </w:rPr>
    </w:lvl>
    <w:lvl w:ilvl="7">
      <w:start w:val="0"/>
      <w:numFmt w:val="bullet"/>
      <w:lvlText w:val="•"/>
      <w:lvlJc w:val="left"/>
      <w:pPr>
        <w:ind w:left="7106" w:hanging="361"/>
      </w:pPr>
      <w:rPr>
        <w:rFonts w:hint="default"/>
        <w:lang w:val="en-us" w:eastAsia="en-us" w:bidi="en-us"/>
      </w:rPr>
    </w:lvl>
    <w:lvl w:ilvl="8">
      <w:start w:val="0"/>
      <w:numFmt w:val="bullet"/>
      <w:lvlText w:val="•"/>
      <w:lvlJc w:val="left"/>
      <w:pPr>
        <w:ind w:left="8037" w:hanging="361"/>
      </w:pPr>
      <w:rPr>
        <w:rFonts w:hint="default"/>
        <w:lang w:val="en-us" w:eastAsia="en-us" w:bidi="en-us"/>
      </w:rPr>
    </w:lvl>
  </w:abstractNum>
  <w:abstractNum w:abstractNumId="0">
    <w:multiLevelType w:val="hybridMultilevel"/>
    <w:lvl w:ilvl="0">
      <w:start w:val="0"/>
      <w:numFmt w:val="bullet"/>
      <w:lvlText w:val=""/>
      <w:lvlJc w:val="left"/>
      <w:pPr>
        <w:ind w:left="719" w:hanging="361"/>
      </w:pPr>
      <w:rPr>
        <w:rFonts w:hint="default" w:ascii="Symbol" w:hAnsi="Symbol" w:eastAsia="Symbol" w:cs="Symbol"/>
        <w:w w:val="100"/>
        <w:sz w:val="22"/>
        <w:szCs w:val="22"/>
        <w:lang w:val="en-us" w:eastAsia="en-us" w:bidi="en-us"/>
      </w:rPr>
    </w:lvl>
    <w:lvl w:ilvl="1">
      <w:start w:val="0"/>
      <w:numFmt w:val="bullet"/>
      <w:lvlText w:val="o"/>
      <w:lvlJc w:val="left"/>
      <w:pPr>
        <w:ind w:left="1171" w:hanging="361"/>
      </w:pPr>
      <w:rPr>
        <w:rFonts w:hint="default" w:ascii="Courier New" w:hAnsi="Courier New" w:eastAsia="Courier New" w:cs="Courier New"/>
        <w:w w:val="100"/>
        <w:sz w:val="22"/>
        <w:szCs w:val="22"/>
        <w:lang w:val="en-us" w:eastAsia="en-us" w:bidi="en-us"/>
      </w:rPr>
    </w:lvl>
    <w:lvl w:ilvl="2">
      <w:start w:val="0"/>
      <w:numFmt w:val="bullet"/>
      <w:lvlText w:val="•"/>
      <w:lvlJc w:val="left"/>
      <w:pPr>
        <w:ind w:left="1804" w:hanging="361"/>
      </w:pPr>
      <w:rPr>
        <w:rFonts w:hint="default"/>
        <w:lang w:val="en-us" w:eastAsia="en-us" w:bidi="en-us"/>
      </w:rPr>
    </w:lvl>
    <w:lvl w:ilvl="3">
      <w:start w:val="0"/>
      <w:numFmt w:val="bullet"/>
      <w:lvlText w:val="•"/>
      <w:lvlJc w:val="left"/>
      <w:pPr>
        <w:ind w:left="2428" w:hanging="361"/>
      </w:pPr>
      <w:rPr>
        <w:rFonts w:hint="default"/>
        <w:lang w:val="en-us" w:eastAsia="en-us" w:bidi="en-us"/>
      </w:rPr>
    </w:lvl>
    <w:lvl w:ilvl="4">
      <w:start w:val="0"/>
      <w:numFmt w:val="bullet"/>
      <w:lvlText w:val="•"/>
      <w:lvlJc w:val="left"/>
      <w:pPr>
        <w:ind w:left="3053" w:hanging="361"/>
      </w:pPr>
      <w:rPr>
        <w:rFonts w:hint="default"/>
        <w:lang w:val="en-us" w:eastAsia="en-us" w:bidi="en-us"/>
      </w:rPr>
    </w:lvl>
    <w:lvl w:ilvl="5">
      <w:start w:val="0"/>
      <w:numFmt w:val="bullet"/>
      <w:lvlText w:val="•"/>
      <w:lvlJc w:val="left"/>
      <w:pPr>
        <w:ind w:left="3677" w:hanging="361"/>
      </w:pPr>
      <w:rPr>
        <w:rFonts w:hint="default"/>
        <w:lang w:val="en-us" w:eastAsia="en-us" w:bidi="en-us"/>
      </w:rPr>
    </w:lvl>
    <w:lvl w:ilvl="6">
      <w:start w:val="0"/>
      <w:numFmt w:val="bullet"/>
      <w:lvlText w:val="•"/>
      <w:lvlJc w:val="left"/>
      <w:pPr>
        <w:ind w:left="4301" w:hanging="361"/>
      </w:pPr>
      <w:rPr>
        <w:rFonts w:hint="default"/>
        <w:lang w:val="en-us" w:eastAsia="en-us" w:bidi="en-us"/>
      </w:rPr>
    </w:lvl>
    <w:lvl w:ilvl="7">
      <w:start w:val="0"/>
      <w:numFmt w:val="bullet"/>
      <w:lvlText w:val="•"/>
      <w:lvlJc w:val="left"/>
      <w:pPr>
        <w:ind w:left="4926" w:hanging="361"/>
      </w:pPr>
      <w:rPr>
        <w:rFonts w:hint="default"/>
        <w:lang w:val="en-us" w:eastAsia="en-us" w:bidi="en-us"/>
      </w:rPr>
    </w:lvl>
    <w:lvl w:ilvl="8">
      <w:start w:val="0"/>
      <w:numFmt w:val="bullet"/>
      <w:lvlText w:val="•"/>
      <w:lvlJc w:val="left"/>
      <w:pPr>
        <w:ind w:left="5550" w:hanging="361"/>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Open Sans Light" w:hAnsi="Open Sans Light" w:eastAsia="Open Sans Light" w:cs="Open Sans Light"/>
      <w:lang w:val="en-us" w:eastAsia="en-us" w:bidi="en-us"/>
    </w:rPr>
  </w:style>
  <w:style w:styleId="TOC1" w:type="paragraph">
    <w:name w:val="TOC 1"/>
    <w:basedOn w:val="Normal"/>
    <w:uiPriority w:val="1"/>
    <w:qFormat/>
    <w:pPr>
      <w:spacing w:before="121"/>
      <w:ind w:left="258"/>
    </w:pPr>
    <w:rPr>
      <w:rFonts w:ascii="Open Sans" w:hAnsi="Open Sans" w:eastAsia="Open Sans" w:cs="Open Sans"/>
      <w:b/>
      <w:bCs/>
      <w:sz w:val="22"/>
      <w:szCs w:val="22"/>
      <w:lang w:val="en-us" w:eastAsia="en-us" w:bidi="en-us"/>
    </w:rPr>
  </w:style>
  <w:style w:styleId="TOC2" w:type="paragraph">
    <w:name w:val="TOC 2"/>
    <w:basedOn w:val="Normal"/>
    <w:uiPriority w:val="1"/>
    <w:qFormat/>
    <w:pPr>
      <w:spacing w:before="119"/>
      <w:ind w:left="548"/>
    </w:pPr>
    <w:rPr>
      <w:rFonts w:ascii="Open Sans" w:hAnsi="Open Sans" w:eastAsia="Open Sans" w:cs="Open Sans"/>
      <w:sz w:val="20"/>
      <w:szCs w:val="20"/>
      <w:lang w:val="en-us" w:eastAsia="en-us" w:bidi="en-us"/>
    </w:rPr>
  </w:style>
  <w:style w:styleId="TOC3" w:type="paragraph">
    <w:name w:val="TOC 3"/>
    <w:basedOn w:val="Normal"/>
    <w:uiPriority w:val="1"/>
    <w:qFormat/>
    <w:pPr>
      <w:spacing w:before="121"/>
      <w:ind w:left="980"/>
    </w:pPr>
    <w:rPr>
      <w:rFonts w:ascii="Open Sans Light" w:hAnsi="Open Sans Light" w:eastAsia="Open Sans Light" w:cs="Open Sans Light"/>
      <w:sz w:val="18"/>
      <w:szCs w:val="18"/>
      <w:lang w:val="en-us" w:eastAsia="en-us" w:bidi="en-us"/>
    </w:rPr>
  </w:style>
  <w:style w:styleId="BodyText" w:type="paragraph">
    <w:name w:val="Body Text"/>
    <w:basedOn w:val="Normal"/>
    <w:uiPriority w:val="1"/>
    <w:qFormat/>
    <w:pPr/>
    <w:rPr>
      <w:rFonts w:ascii="Open Sans Light" w:hAnsi="Open Sans Light" w:eastAsia="Open Sans Light" w:cs="Open Sans Light"/>
      <w:sz w:val="22"/>
      <w:szCs w:val="22"/>
      <w:lang w:val="en-us" w:eastAsia="en-us" w:bidi="en-us"/>
    </w:rPr>
  </w:style>
  <w:style w:styleId="Heading1" w:type="paragraph">
    <w:name w:val="Heading 1"/>
    <w:basedOn w:val="Normal"/>
    <w:uiPriority w:val="1"/>
    <w:qFormat/>
    <w:pPr>
      <w:spacing w:before="100"/>
      <w:ind w:left="260"/>
      <w:outlineLvl w:val="1"/>
    </w:pPr>
    <w:rPr>
      <w:rFonts w:ascii="Open Sans" w:hAnsi="Open Sans" w:eastAsia="Open Sans" w:cs="Open Sans"/>
      <w:b/>
      <w:bCs/>
      <w:sz w:val="48"/>
      <w:szCs w:val="48"/>
      <w:lang w:val="en-us" w:eastAsia="en-us" w:bidi="en-us"/>
    </w:rPr>
  </w:style>
  <w:style w:styleId="Heading2" w:type="paragraph">
    <w:name w:val="Heading 2"/>
    <w:basedOn w:val="Normal"/>
    <w:uiPriority w:val="1"/>
    <w:qFormat/>
    <w:pPr>
      <w:spacing w:before="101"/>
      <w:ind w:left="260"/>
      <w:outlineLvl w:val="2"/>
    </w:pPr>
    <w:rPr>
      <w:rFonts w:ascii="Open Sans Semibold" w:hAnsi="Open Sans Semibold" w:eastAsia="Open Sans Semibold" w:cs="Open Sans Semibold"/>
      <w:sz w:val="40"/>
      <w:szCs w:val="40"/>
      <w:lang w:val="en-us" w:eastAsia="en-us" w:bidi="en-us"/>
    </w:rPr>
  </w:style>
  <w:style w:styleId="ListParagraph" w:type="paragraph">
    <w:name w:val="List Paragraph"/>
    <w:basedOn w:val="Normal"/>
    <w:uiPriority w:val="1"/>
    <w:qFormat/>
    <w:pPr>
      <w:ind w:left="800" w:hanging="361"/>
    </w:pPr>
    <w:rPr>
      <w:rFonts w:ascii="Open Sans Light" w:hAnsi="Open Sans Light" w:eastAsia="Open Sans Light" w:cs="Open Sans Light"/>
      <w:lang w:val="en-us" w:eastAsia="en-us" w:bidi="en-us"/>
    </w:rPr>
  </w:style>
  <w:style w:styleId="TableParagraph" w:type="paragraph">
    <w:name w:val="Table Paragraph"/>
    <w:basedOn w:val="Normal"/>
    <w:uiPriority w:val="1"/>
    <w:qFormat/>
    <w:pPr/>
    <w:rPr>
      <w:rFonts w:ascii="Open Sans Light" w:hAnsi="Open Sans Light" w:eastAsia="Open Sans Light" w:cs="Open Sans Ligh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hyperlink" Target="https://www.ksde.org/Portals/0/Auditing/Enrollment%20Handbook%20FY22.pdf" TargetMode="External"/><Relationship Id="rId10" Type="http://schemas.openxmlformats.org/officeDocument/2006/relationships/hyperlink" Target="https://www.ksde.org/Agency/Fiscal-and-Administrative-Services/Fiscal-Auditing" TargetMode="Externa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mailto:craign@ksde.org" TargetMode="External"/><Relationship Id="rId14" Type="http://schemas.openxmlformats.org/officeDocument/2006/relationships/hyperlink" Target="mailto:dbrungardt@ksde.org" TargetMode="Externa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hyperlink" Target="http://www.ksrevisor.org/statutes/chapters/ch72/072_051_0032.html" TargetMode="External"/><Relationship Id="rId18" Type="http://schemas.openxmlformats.org/officeDocument/2006/relationships/hyperlink" Target="http://www.ksrevisor.org/statutes/chapters/ch72/072_037_0015.html" TargetMode="External"/><Relationship Id="rId19" Type="http://schemas.openxmlformats.org/officeDocument/2006/relationships/hyperlink" Target="https://www.congress.gov/bill/111th-congress/house-bill/1/text" TargetMode="External"/><Relationship Id="rId20" Type="http://schemas.openxmlformats.org/officeDocument/2006/relationships/header" Target="header3.xml"/><Relationship Id="rId21" Type="http://schemas.openxmlformats.org/officeDocument/2006/relationships/footer" Target="footer4.xml"/><Relationship Id="rId22" Type="http://schemas.openxmlformats.org/officeDocument/2006/relationships/hyperlink" Target="https://www.ksde.org/Portals/0/Auditing/Enrollment%20Handbook%20FY21%20-%209.18.2020.pdf?ver=2020-09-18-102643-540" TargetMode="External"/><Relationship Id="rId23" Type="http://schemas.openxmlformats.org/officeDocument/2006/relationships/hyperlink" Target="http://www.ksrevisor.org/statutes/chapters/ch72/072_051_0039.html" TargetMode="External"/><Relationship Id="rId24" Type="http://schemas.openxmlformats.org/officeDocument/2006/relationships/header" Target="header4.xml"/><Relationship Id="rId25" Type="http://schemas.openxmlformats.org/officeDocument/2006/relationships/footer" Target="footer5.xml"/><Relationship Id="rId26" Type="http://schemas.openxmlformats.org/officeDocument/2006/relationships/hyperlink" Target="http://www.ksrevisor.org/statutes/chapters/ch72/072_051_0048.html" TargetMode="External"/><Relationship Id="rId27" Type="http://schemas.openxmlformats.org/officeDocument/2006/relationships/hyperlink" Target="http://www.ksrevisor.org/statutes/chapters/ch72/072_051_0060.html" TargetMode="External"/><Relationship Id="rId28" Type="http://schemas.openxmlformats.org/officeDocument/2006/relationships/hyperlink" Target="http://www.ksrevisor.org/statutes/chapters/ch72/072_064_0051.html" TargetMode="External"/><Relationship Id="rId29" Type="http://schemas.openxmlformats.org/officeDocument/2006/relationships/hyperlink" Target="http://www.ksrevisor.org/statutes/chapters/ch72/072_051_0058.html" TargetMode="External"/><Relationship Id="rId30" Type="http://schemas.openxmlformats.org/officeDocument/2006/relationships/hyperlink" Target="http://www.ksrevisor.org/statutes/chapters/ch72/072_051_0059.html" TargetMode="External"/><Relationship Id="rId31" Type="http://schemas.openxmlformats.org/officeDocument/2006/relationships/header" Target="header5.xml"/><Relationship Id="rId32" Type="http://schemas.openxmlformats.org/officeDocument/2006/relationships/footer" Target="footer6.xml"/><Relationship Id="rId33" Type="http://schemas.openxmlformats.org/officeDocument/2006/relationships/hyperlink" Target="http://www.ksrevisor.org/statutes/chapters/ch75/075_051_0042.html" TargetMode="External"/><Relationship Id="rId34" Type="http://schemas.openxmlformats.org/officeDocument/2006/relationships/hyperlink" Target="http://www.ksrevisor.org/statutes/chapters/ch72/072_034_0022.html" TargetMode="External"/><Relationship Id="rId35" Type="http://schemas.openxmlformats.org/officeDocument/2006/relationships/header" Target="header6.xml"/><Relationship Id="rId36" Type="http://schemas.openxmlformats.org/officeDocument/2006/relationships/footer" Target="footer7.xml"/><Relationship Id="rId37" Type="http://schemas.openxmlformats.org/officeDocument/2006/relationships/hyperlink" Target="http://www.ksrevisor.org/statutes/chapters/ch72/072_051_0044.html" TargetMode="External"/><Relationship Id="rId38" Type="http://schemas.openxmlformats.org/officeDocument/2006/relationships/header" Target="header7.xml"/><Relationship Id="rId39" Type="http://schemas.openxmlformats.org/officeDocument/2006/relationships/footer" Target="footer8.xml"/><Relationship Id="rId40" Type="http://schemas.openxmlformats.org/officeDocument/2006/relationships/image" Target="media/image4.png"/><Relationship Id="rId41" Type="http://schemas.openxmlformats.org/officeDocument/2006/relationships/hyperlink" Target="http://www.ksde.org/" TargetMode="External"/><Relationship Id="rId4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Wyckoff</dc:creator>
  <cp:keywords>KSDE Report Template</cp:keywords>
  <dc:subject>2020-2021</dc:subject>
  <dc:title>State Foundation Aid &amp; Supplemental General State Aid</dc:title>
  <dcterms:created xsi:type="dcterms:W3CDTF">2021-11-10T17:08:56Z</dcterms:created>
  <dcterms:modified xsi:type="dcterms:W3CDTF">2021-11-10T17:08:56Z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Acrobat PDFMaker 17 for Word</vt:lpwstr>
  </property>
  <property fmtid="{D5CDD505-2E9C-101B-9397-08002B2CF9AE}" pid="4" name="LastSaved">
    <vt:filetime>2021-11-10T00:00:00Z</vt:filetime>
  </property>
</Properties>
</file>