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jc w:val="center"/>
        <w:rPr>
          <w:rFonts w:ascii="Roboto" w:cs="Roboto" w:eastAsia="Roboto" w:hAnsi="Roboto"/>
          <w:b w:val="1"/>
          <w:color w:val="9da3aa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9da3aa"/>
          <w:sz w:val="32"/>
          <w:szCs w:val="32"/>
          <w:rtl w:val="0"/>
        </w:rPr>
        <w:t xml:space="preserve">Redesign Components</w:t>
      </w:r>
    </w:p>
    <w:tbl>
      <w:tblPr>
        <w:tblStyle w:val="Table1"/>
        <w:tblW w:w="11100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6945"/>
        <w:gridCol w:w="3510"/>
        <w:tblGridChange w:id="0">
          <w:tblGrid>
            <w:gridCol w:w="645"/>
            <w:gridCol w:w="6945"/>
            <w:gridCol w:w="351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  <w:rtl w:val="0"/>
              </w:rPr>
              <w:t xml:space="preserve">MUST INCLUDE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  <w:rtl w:val="0"/>
              </w:rPr>
              <w:t xml:space="preserve">LINK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56bca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rFonts w:ascii="Roboto Thin" w:cs="Roboto Thin" w:eastAsia="Roboto Thin" w:hAnsi="Roboto Thin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56bca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Roboto Thin" w:cs="Roboto Thin" w:eastAsia="Roboto Thin" w:hAnsi="Roboto Thi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28"/>
                <w:szCs w:val="28"/>
                <w:rtl w:val="0"/>
              </w:rPr>
              <w:t xml:space="preserve">Mission Inception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5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Collective ‘Why’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5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School Redesign Team Roles and Role at School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5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Culture Survey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20% Calendar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Roboto Thin" w:cs="Roboto Thin" w:eastAsia="Roboto Thin" w:hAnsi="Roboto Thin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Roboto Thin" w:cs="Roboto Thin" w:eastAsia="Roboto Thin" w:hAnsi="Roboto Thi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28"/>
                <w:szCs w:val="28"/>
                <w:rtl w:val="0"/>
              </w:rPr>
              <w:t xml:space="preserve">Building the Launchpad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8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Shared Vision for redesign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8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Data Analysis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u w:val="single"/>
                  <w:rtl w:val="0"/>
                </w:rPr>
                <w:t xml:space="preserve">Communication Plan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color w:val="434343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u w:val="single"/>
                  <w:rtl w:val="0"/>
                </w:rPr>
                <w:t xml:space="preserve">Business Engagement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74b0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Roboto Thin" w:cs="Roboto Thin" w:eastAsia="Roboto Thin" w:hAnsi="Roboto Thin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74b0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Roboto Thin" w:cs="Roboto Thin" w:eastAsia="Roboto Thin" w:hAnsi="Roboto Thi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28"/>
                <w:szCs w:val="28"/>
                <w:rtl w:val="0"/>
              </w:rPr>
              <w:t xml:space="preserve">Designing the Rocket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0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Design thinking artifacts -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1"/>
                <w:numId w:val="10"/>
              </w:numPr>
              <w:spacing w:line="216" w:lineRule="auto"/>
              <w:ind w:left="144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Empathize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1"/>
                <w:numId w:val="10"/>
              </w:numPr>
              <w:spacing w:line="216" w:lineRule="auto"/>
              <w:ind w:left="144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How might we statement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1"/>
                <w:numId w:val="10"/>
              </w:numPr>
              <w:spacing w:line="216" w:lineRule="auto"/>
              <w:ind w:left="144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Perfect Day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0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Redesign Workbook</w:t>
            </w: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 - Blueprint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1"/>
                <w:numId w:val="10"/>
              </w:numPr>
              <w:spacing w:line="216" w:lineRule="auto"/>
              <w:ind w:left="144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Goals and Strategies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0546874999999" w:hRule="atLeast"/>
          <w:tblHeader w:val="0"/>
        </w:trPr>
        <w:tc>
          <w:tcPr>
            <w:vMerge w:val="restart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4c7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Roboto Thin" w:cs="Roboto Thin" w:eastAsia="Roboto Thin" w:hAnsi="Roboto Thin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4c7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Roboto Thin" w:cs="Roboto Thin" w:eastAsia="Roboto Thin" w:hAnsi="Roboto Thi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28"/>
                <w:szCs w:val="28"/>
                <w:rtl w:val="0"/>
              </w:rPr>
              <w:t xml:space="preserve">Building the Rocket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4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Redesign Workbook - Blueprint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1"/>
                <w:numId w:val="4"/>
              </w:numPr>
              <w:spacing w:line="216" w:lineRule="auto"/>
              <w:ind w:left="144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Gap Analysis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1"/>
                <w:numId w:val="4"/>
              </w:numPr>
              <w:spacing w:line="216" w:lineRule="auto"/>
              <w:ind w:left="144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Action Plans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.4921875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4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Scoreboards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4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Accountability Meetings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1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u w:val="single"/>
                  <w:rtl w:val="0"/>
                </w:rPr>
                <w:t xml:space="preserve">Resource Implications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1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u w:val="single"/>
                  <w:rtl w:val="0"/>
                </w:rPr>
                <w:t xml:space="preserve">Strategy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1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Plan to Scale (Sustainability, PD, and Growth) 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.05468749999994" w:hRule="atLeast"/>
          <w:tblHeader w:val="0"/>
        </w:trPr>
        <w:tc>
          <w:tcPr>
            <w:vMerge w:val="restart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Roboto Thin" w:cs="Roboto Thin" w:eastAsia="Roboto Thin" w:hAnsi="Roboto Thin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Roboto Thin" w:cs="Roboto Thin" w:eastAsia="Roboto Thin" w:hAnsi="Roboto Thi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 Thin" w:cs="Roboto Thin" w:eastAsia="Roboto Thin" w:hAnsi="Roboto Thin"/>
                <w:color w:val="ffffff"/>
                <w:sz w:val="28"/>
                <w:szCs w:val="28"/>
                <w:rtl w:val="0"/>
              </w:rPr>
              <w:t xml:space="preserve">Show and Launch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7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Sefl-Assess Using the </w:t>
            </w:r>
            <w:hyperlink r:id="rId10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u w:val="single"/>
                  <w:rtl w:val="0"/>
                </w:rPr>
                <w:t xml:space="preserve">Launch Readiness Rubric</w:t>
              </w:r>
            </w:hyperlink>
            <w:hyperlink r:id="rId11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rtl w:val="0"/>
                </w:rPr>
                <w:tab/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6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Roboto Light" w:cs="Roboto Light" w:eastAsia="Roboto Light" w:hAnsi="Roboto Light"/>
                  <w:color w:val="1155cc"/>
                  <w:sz w:val="20"/>
                  <w:szCs w:val="20"/>
                  <w:u w:val="single"/>
                  <w:rtl w:val="0"/>
                </w:rPr>
                <w:t xml:space="preserve">Evidence Collection Planner</w:t>
              </w:r>
            </w:hyperlink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 from On-Site Visit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 Light" w:cs="Roboto Light" w:eastAsia="Roboto Light" w:hAnsi="Roboto Ligh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9"/>
              </w:numPr>
              <w:spacing w:line="216" w:lineRule="auto"/>
              <w:ind w:left="72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Show and Launch Presentation 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forms/d/e/1FAIpQLSdVo7K5JMwSRE1bcl4e8VXhzuFOUCoKNtflpJa76rFXiJll7g/viewform?usp=sf_link" TargetMode="External"/><Relationship Id="rId10" Type="http://schemas.openxmlformats.org/officeDocument/2006/relationships/hyperlink" Target="https://www.ksde.org/LinkClick.aspx?fileticket=vnD9-j4k9No%3d&amp;tabid=1251&amp;portalid=0&amp;mid=3630" TargetMode="External"/><Relationship Id="rId12" Type="http://schemas.openxmlformats.org/officeDocument/2006/relationships/hyperlink" Target="https://www.ksde.org/LinkClick.aspx?fileticket=9ofde6Jiq9Q%3d&amp;tabid=1509&amp;portalid=0&amp;mid=6022" TargetMode="External"/><Relationship Id="rId9" Type="http://schemas.openxmlformats.org/officeDocument/2006/relationships/hyperlink" Target="https://www.ksde.org/Portals/0/Communications/KC_School_Redesign/Strategy%20Report.pdf?ver=2022-04-21-144904-50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sde.org/LinkClick.aspx?fileticket=Kx1difCttqA%3d&amp;tabid=1509&amp;portalid=0&amp;mid=6011" TargetMode="External"/><Relationship Id="rId7" Type="http://schemas.openxmlformats.org/officeDocument/2006/relationships/hyperlink" Target="https://www.ksde.org/LinkClick.aspx?fileticket=tlhg1W_H1tM%3d&amp;tabid=1509&amp;portalid=0&amp;mid=6016" TargetMode="External"/><Relationship Id="rId8" Type="http://schemas.openxmlformats.org/officeDocument/2006/relationships/hyperlink" Target="https://www.ksde.org/LinkClick.aspx?fileticket=LcU2ehBNHMw%3d&amp;tabid=1509&amp;portalid=0&amp;mid=60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