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A4" w:rsidRPr="00533164" w:rsidRDefault="006C6A85" w:rsidP="00762E5C">
      <w:pPr>
        <w:spacing w:after="0" w:line="240" w:lineRule="auto"/>
        <w:jc w:val="center"/>
        <w:rPr>
          <w:rFonts w:ascii="Arial" w:hAnsi="Arial" w:cs="Arial"/>
          <w:b/>
          <w:sz w:val="28"/>
          <w:szCs w:val="28"/>
        </w:rPr>
      </w:pPr>
      <w:r w:rsidRPr="00533164">
        <w:rPr>
          <w:rFonts w:ascii="Arial" w:hAnsi="Arial" w:cs="Arial"/>
          <w:b/>
          <w:sz w:val="28"/>
          <w:szCs w:val="28"/>
        </w:rPr>
        <w:t>Closing the Achievement Gap Task Force – October 24, 2012</w:t>
      </w:r>
    </w:p>
    <w:p w:rsidR="006C6A85" w:rsidRPr="00533164" w:rsidRDefault="006C6A85" w:rsidP="006C6A85">
      <w:pPr>
        <w:spacing w:after="0" w:line="240" w:lineRule="auto"/>
        <w:rPr>
          <w:rFonts w:ascii="Arial" w:hAnsi="Arial" w:cs="Arial"/>
          <w:sz w:val="24"/>
          <w:szCs w:val="24"/>
        </w:rPr>
      </w:pPr>
    </w:p>
    <w:p w:rsidR="006C6A85" w:rsidRPr="00533164" w:rsidRDefault="006C6A85" w:rsidP="006C6A85">
      <w:pPr>
        <w:spacing w:after="0" w:line="240" w:lineRule="auto"/>
        <w:rPr>
          <w:rFonts w:ascii="Arial" w:hAnsi="Arial" w:cs="Arial"/>
          <w:sz w:val="24"/>
          <w:szCs w:val="24"/>
        </w:rPr>
      </w:pPr>
      <w:r w:rsidRPr="00533164">
        <w:rPr>
          <w:rFonts w:ascii="Arial" w:hAnsi="Arial" w:cs="Arial"/>
          <w:sz w:val="24"/>
          <w:szCs w:val="24"/>
        </w:rPr>
        <w:t xml:space="preserve">Members Present:  </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Diane DeBacker, KSDE</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Brad Neuenswander, KSDE</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Tom Foster, KSDE</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Mildred Edwards, Kansas African American Affairs Commission</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Adrienne Foster, Kansas Hispanic &amp; Latino American Affairs Commission</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Chester Daniel, Urban League of Kansas</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Jean Schodorf, Senator</w:t>
      </w:r>
    </w:p>
    <w:p w:rsidR="006C6A85" w:rsidRPr="00533164" w:rsidRDefault="006C6A85" w:rsidP="00762E5C">
      <w:pPr>
        <w:pStyle w:val="ListParagraph"/>
        <w:numPr>
          <w:ilvl w:val="0"/>
          <w:numId w:val="1"/>
        </w:numPr>
        <w:spacing w:after="0" w:line="240" w:lineRule="auto"/>
        <w:rPr>
          <w:rFonts w:ascii="Arial" w:hAnsi="Arial" w:cs="Arial"/>
          <w:sz w:val="24"/>
          <w:szCs w:val="24"/>
        </w:rPr>
      </w:pPr>
      <w:r w:rsidRPr="00533164">
        <w:rPr>
          <w:rFonts w:ascii="Arial" w:hAnsi="Arial" w:cs="Arial"/>
          <w:sz w:val="24"/>
          <w:szCs w:val="24"/>
        </w:rPr>
        <w:t>Charles Rankin, Midwest Equity Assistance Center</w:t>
      </w:r>
    </w:p>
    <w:p w:rsidR="002D48A7" w:rsidRPr="00533164" w:rsidRDefault="002D48A7" w:rsidP="006C6A85">
      <w:pPr>
        <w:spacing w:after="0" w:line="240" w:lineRule="auto"/>
        <w:rPr>
          <w:rFonts w:ascii="Arial" w:hAnsi="Arial" w:cs="Arial"/>
          <w:sz w:val="24"/>
          <w:szCs w:val="24"/>
        </w:rPr>
      </w:pPr>
    </w:p>
    <w:p w:rsidR="00762E5C" w:rsidRPr="00533164" w:rsidRDefault="00762E5C" w:rsidP="00762E5C">
      <w:pPr>
        <w:spacing w:after="0" w:line="240" w:lineRule="auto"/>
        <w:rPr>
          <w:rFonts w:ascii="Arial" w:hAnsi="Arial" w:cs="Arial"/>
          <w:sz w:val="24"/>
          <w:szCs w:val="24"/>
        </w:rPr>
      </w:pPr>
      <w:r w:rsidRPr="00533164">
        <w:rPr>
          <w:rFonts w:ascii="Arial" w:hAnsi="Arial" w:cs="Arial"/>
          <w:sz w:val="24"/>
          <w:szCs w:val="24"/>
        </w:rPr>
        <w:t>Location:  Kansas State Department of Education</w:t>
      </w:r>
    </w:p>
    <w:p w:rsidR="00762E5C" w:rsidRPr="00533164" w:rsidRDefault="00762E5C" w:rsidP="006C6A85">
      <w:pPr>
        <w:spacing w:after="0" w:line="240" w:lineRule="auto"/>
        <w:rPr>
          <w:rFonts w:ascii="Arial" w:hAnsi="Arial" w:cs="Arial"/>
          <w:sz w:val="24"/>
          <w:szCs w:val="24"/>
        </w:rPr>
      </w:pPr>
    </w:p>
    <w:p w:rsidR="002D48A7" w:rsidRPr="00533164" w:rsidRDefault="00762E5C" w:rsidP="006C6A85">
      <w:pPr>
        <w:spacing w:after="0" w:line="240" w:lineRule="auto"/>
        <w:rPr>
          <w:rFonts w:ascii="Arial" w:hAnsi="Arial" w:cs="Arial"/>
          <w:sz w:val="24"/>
          <w:szCs w:val="24"/>
        </w:rPr>
      </w:pPr>
      <w:r w:rsidRPr="00533164">
        <w:rPr>
          <w:rFonts w:ascii="Arial" w:hAnsi="Arial" w:cs="Arial"/>
          <w:sz w:val="24"/>
          <w:szCs w:val="24"/>
        </w:rPr>
        <w:t xml:space="preserve">The </w:t>
      </w:r>
      <w:r w:rsidR="002D48A7" w:rsidRPr="00533164">
        <w:rPr>
          <w:rFonts w:ascii="Arial" w:hAnsi="Arial" w:cs="Arial"/>
          <w:sz w:val="24"/>
          <w:szCs w:val="24"/>
        </w:rPr>
        <w:t xml:space="preserve">inaugural meeting of the Closing the Achievement Gap Task Force </w:t>
      </w:r>
      <w:r w:rsidRPr="00533164">
        <w:rPr>
          <w:rFonts w:ascii="Arial" w:hAnsi="Arial" w:cs="Arial"/>
          <w:sz w:val="24"/>
          <w:szCs w:val="24"/>
        </w:rPr>
        <w:t xml:space="preserve">began </w:t>
      </w:r>
      <w:r w:rsidR="002D48A7" w:rsidRPr="00533164">
        <w:rPr>
          <w:rFonts w:ascii="Arial" w:hAnsi="Arial" w:cs="Arial"/>
          <w:sz w:val="24"/>
          <w:szCs w:val="24"/>
        </w:rPr>
        <w:t>with introductions of each of the members.</w:t>
      </w:r>
    </w:p>
    <w:p w:rsidR="002D48A7" w:rsidRPr="00533164" w:rsidRDefault="002D48A7" w:rsidP="006C6A85">
      <w:pPr>
        <w:spacing w:after="0" w:line="240" w:lineRule="auto"/>
        <w:rPr>
          <w:rFonts w:ascii="Arial" w:hAnsi="Arial" w:cs="Arial"/>
          <w:sz w:val="24"/>
          <w:szCs w:val="24"/>
        </w:rPr>
      </w:pPr>
    </w:p>
    <w:p w:rsidR="002D48A7" w:rsidRPr="00533164" w:rsidRDefault="002D48A7" w:rsidP="006C6A85">
      <w:pPr>
        <w:spacing w:after="0" w:line="240" w:lineRule="auto"/>
        <w:rPr>
          <w:rFonts w:ascii="Arial" w:hAnsi="Arial" w:cs="Arial"/>
          <w:sz w:val="24"/>
          <w:szCs w:val="24"/>
        </w:rPr>
      </w:pPr>
      <w:r w:rsidRPr="00533164">
        <w:rPr>
          <w:rFonts w:ascii="Arial" w:hAnsi="Arial" w:cs="Arial"/>
          <w:sz w:val="24"/>
          <w:szCs w:val="24"/>
        </w:rPr>
        <w:t>Brad reviewed the statewide assessment data from the September 2012 State Board of Education meeting as well as the October data.  The September</w:t>
      </w:r>
      <w:r w:rsidR="00817D06" w:rsidRPr="00533164">
        <w:rPr>
          <w:rFonts w:ascii="Arial" w:hAnsi="Arial" w:cs="Arial"/>
          <w:sz w:val="24"/>
          <w:szCs w:val="24"/>
        </w:rPr>
        <w:t xml:space="preserve"> data was recalculated due to three districts (McPherson, Clifton-Clyde, Kansas City) taking the EXPLORE at the 8th grade a</w:t>
      </w:r>
      <w:r w:rsidR="00024D11" w:rsidRPr="00533164">
        <w:rPr>
          <w:rFonts w:ascii="Arial" w:hAnsi="Arial" w:cs="Arial"/>
          <w:sz w:val="24"/>
          <w:szCs w:val="24"/>
        </w:rPr>
        <w:t>nd ACT at the high school level</w:t>
      </w:r>
      <w:r w:rsidR="00817D06" w:rsidRPr="00533164">
        <w:rPr>
          <w:rFonts w:ascii="Arial" w:hAnsi="Arial" w:cs="Arial"/>
          <w:sz w:val="24"/>
          <w:szCs w:val="24"/>
        </w:rPr>
        <w:t>.  The State Board voted in October to have separate statewide reporting for those districts taking the state assessments from those taking a different assessment.  The PowerPoint Brad presented can be found at the Closing the Achievem</w:t>
      </w:r>
      <w:r w:rsidR="004F225E">
        <w:rPr>
          <w:rFonts w:ascii="Arial" w:hAnsi="Arial" w:cs="Arial"/>
          <w:sz w:val="24"/>
          <w:szCs w:val="24"/>
        </w:rPr>
        <w:t xml:space="preserve">ent Gap Task Force website at: </w:t>
      </w:r>
      <w:hyperlink r:id="rId6" w:history="1">
        <w:r w:rsidR="004F225E" w:rsidRPr="003B793F">
          <w:rPr>
            <w:rStyle w:val="Hyperlink"/>
            <w:rFonts w:ascii="Arial" w:hAnsi="Arial" w:cs="Arial"/>
            <w:sz w:val="24"/>
            <w:szCs w:val="24"/>
          </w:rPr>
          <w:t>http://www.ksde.org/Default.aspx?tabid=1646</w:t>
        </w:r>
      </w:hyperlink>
      <w:r w:rsidR="004F225E">
        <w:rPr>
          <w:rFonts w:ascii="Arial" w:hAnsi="Arial" w:cs="Arial"/>
          <w:sz w:val="24"/>
          <w:szCs w:val="24"/>
        </w:rPr>
        <w:tab/>
      </w:r>
    </w:p>
    <w:p w:rsidR="00817D06" w:rsidRPr="00533164" w:rsidRDefault="00817D06" w:rsidP="006C6A85">
      <w:pPr>
        <w:spacing w:after="0" w:line="240" w:lineRule="auto"/>
        <w:rPr>
          <w:rFonts w:ascii="Arial" w:hAnsi="Arial" w:cs="Arial"/>
          <w:sz w:val="24"/>
          <w:szCs w:val="24"/>
        </w:rPr>
      </w:pPr>
    </w:p>
    <w:p w:rsidR="00817D06" w:rsidRPr="00533164" w:rsidRDefault="00817D06" w:rsidP="006C6A85">
      <w:pPr>
        <w:spacing w:after="0" w:line="240" w:lineRule="auto"/>
        <w:rPr>
          <w:rFonts w:ascii="Arial" w:hAnsi="Arial" w:cs="Arial"/>
          <w:sz w:val="24"/>
          <w:szCs w:val="24"/>
        </w:rPr>
      </w:pPr>
      <w:r w:rsidRPr="00533164">
        <w:rPr>
          <w:rFonts w:ascii="Arial" w:hAnsi="Arial" w:cs="Arial"/>
          <w:sz w:val="24"/>
          <w:szCs w:val="24"/>
        </w:rPr>
        <w:t xml:space="preserve">The statewide assessment results for 2012 show a persistent achievement gap among </w:t>
      </w:r>
      <w:r w:rsidR="00966505" w:rsidRPr="00533164">
        <w:rPr>
          <w:rFonts w:ascii="Arial" w:hAnsi="Arial" w:cs="Arial"/>
          <w:sz w:val="24"/>
          <w:szCs w:val="24"/>
        </w:rPr>
        <w:t>the following subgroups:  paid lunch, reduced lunch, free lunch, whites, Hi</w:t>
      </w:r>
      <w:r w:rsidR="00F812B4" w:rsidRPr="00533164">
        <w:rPr>
          <w:rFonts w:ascii="Arial" w:hAnsi="Arial" w:cs="Arial"/>
          <w:sz w:val="24"/>
          <w:szCs w:val="24"/>
        </w:rPr>
        <w:t>spanics and</w:t>
      </w:r>
      <w:r w:rsidR="00966505" w:rsidRPr="00533164">
        <w:rPr>
          <w:rFonts w:ascii="Arial" w:hAnsi="Arial" w:cs="Arial"/>
          <w:sz w:val="24"/>
          <w:szCs w:val="24"/>
        </w:rPr>
        <w:t xml:space="preserve"> African Americans.  Acknowledgement was given to the work that has been done in schools since 2000 in closing the gaps that have rang</w:t>
      </w:r>
      <w:r w:rsidR="00F812B4" w:rsidRPr="00533164">
        <w:rPr>
          <w:rFonts w:ascii="Arial" w:hAnsi="Arial" w:cs="Arial"/>
          <w:sz w:val="24"/>
          <w:szCs w:val="24"/>
        </w:rPr>
        <w:t>ed anywhere from 14% to over 36%.  However, the task force members were concerned that a gap continues to persist and has widened in some cases over the past year. Specifically, the following chart illustrates the gap in the subgroups</w:t>
      </w:r>
      <w:r w:rsidR="00024D11" w:rsidRPr="00533164">
        <w:rPr>
          <w:rFonts w:ascii="Arial" w:hAnsi="Arial" w:cs="Arial"/>
          <w:sz w:val="24"/>
          <w:szCs w:val="24"/>
        </w:rPr>
        <w:t xml:space="preserve"> for the 2012 state assessment results</w:t>
      </w:r>
      <w:r w:rsidR="00F812B4" w:rsidRPr="00533164">
        <w:rPr>
          <w:rFonts w:ascii="Arial" w:hAnsi="Arial" w:cs="Arial"/>
          <w:sz w:val="24"/>
          <w:szCs w:val="24"/>
        </w:rPr>
        <w:t>.</w:t>
      </w:r>
    </w:p>
    <w:p w:rsidR="00F812B4" w:rsidRPr="00533164" w:rsidRDefault="00F812B4" w:rsidP="006C6A8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59"/>
        <w:gridCol w:w="1347"/>
        <w:gridCol w:w="1361"/>
        <w:gridCol w:w="1347"/>
        <w:gridCol w:w="1351"/>
        <w:gridCol w:w="1367"/>
        <w:gridCol w:w="1444"/>
      </w:tblGrid>
      <w:tr w:rsidR="00966505" w:rsidRPr="00533164" w:rsidTr="00F812B4">
        <w:tc>
          <w:tcPr>
            <w:tcW w:w="1368" w:type="dxa"/>
            <w:vAlign w:val="center"/>
          </w:tcPr>
          <w:p w:rsidR="00966505" w:rsidRPr="00533164" w:rsidRDefault="00966505" w:rsidP="00F812B4">
            <w:pPr>
              <w:jc w:val="center"/>
              <w:rPr>
                <w:rFonts w:ascii="Arial" w:hAnsi="Arial" w:cs="Arial"/>
                <w:b/>
                <w:sz w:val="24"/>
                <w:szCs w:val="24"/>
              </w:rPr>
            </w:pPr>
          </w:p>
        </w:tc>
        <w:tc>
          <w:tcPr>
            <w:tcW w:w="1368" w:type="dxa"/>
            <w:vAlign w:val="center"/>
          </w:tcPr>
          <w:p w:rsidR="00966505" w:rsidRPr="00533164" w:rsidRDefault="00966505" w:rsidP="00F812B4">
            <w:pPr>
              <w:jc w:val="center"/>
              <w:rPr>
                <w:rFonts w:ascii="Arial" w:hAnsi="Arial" w:cs="Arial"/>
                <w:b/>
                <w:sz w:val="24"/>
                <w:szCs w:val="24"/>
              </w:rPr>
            </w:pPr>
            <w:r w:rsidRPr="00533164">
              <w:rPr>
                <w:rFonts w:ascii="Arial" w:hAnsi="Arial" w:cs="Arial"/>
                <w:b/>
                <w:sz w:val="24"/>
                <w:szCs w:val="24"/>
              </w:rPr>
              <w:t>Paid Lunch</w:t>
            </w:r>
          </w:p>
        </w:tc>
        <w:tc>
          <w:tcPr>
            <w:tcW w:w="1368" w:type="dxa"/>
            <w:vAlign w:val="center"/>
          </w:tcPr>
          <w:p w:rsidR="00966505" w:rsidRPr="00533164" w:rsidRDefault="00966505" w:rsidP="00F812B4">
            <w:pPr>
              <w:jc w:val="center"/>
              <w:rPr>
                <w:rFonts w:ascii="Arial" w:hAnsi="Arial" w:cs="Arial"/>
                <w:b/>
                <w:sz w:val="24"/>
                <w:szCs w:val="24"/>
              </w:rPr>
            </w:pPr>
            <w:r w:rsidRPr="00533164">
              <w:rPr>
                <w:rFonts w:ascii="Arial" w:hAnsi="Arial" w:cs="Arial"/>
                <w:b/>
                <w:sz w:val="24"/>
                <w:szCs w:val="24"/>
              </w:rPr>
              <w:t>Reduced Lunch</w:t>
            </w:r>
          </w:p>
        </w:tc>
        <w:tc>
          <w:tcPr>
            <w:tcW w:w="1368" w:type="dxa"/>
            <w:vAlign w:val="center"/>
          </w:tcPr>
          <w:p w:rsidR="00966505" w:rsidRPr="00533164" w:rsidRDefault="00966505" w:rsidP="00F812B4">
            <w:pPr>
              <w:jc w:val="center"/>
              <w:rPr>
                <w:rFonts w:ascii="Arial" w:hAnsi="Arial" w:cs="Arial"/>
                <w:b/>
                <w:sz w:val="24"/>
                <w:szCs w:val="24"/>
              </w:rPr>
            </w:pPr>
            <w:r w:rsidRPr="00533164">
              <w:rPr>
                <w:rFonts w:ascii="Arial" w:hAnsi="Arial" w:cs="Arial"/>
                <w:b/>
                <w:sz w:val="24"/>
                <w:szCs w:val="24"/>
              </w:rPr>
              <w:t>Free Lunch</w:t>
            </w:r>
          </w:p>
        </w:tc>
        <w:tc>
          <w:tcPr>
            <w:tcW w:w="1368" w:type="dxa"/>
            <w:vAlign w:val="center"/>
          </w:tcPr>
          <w:p w:rsidR="00966505" w:rsidRPr="00533164" w:rsidRDefault="00966505" w:rsidP="00F812B4">
            <w:pPr>
              <w:jc w:val="center"/>
              <w:rPr>
                <w:rFonts w:ascii="Arial" w:hAnsi="Arial" w:cs="Arial"/>
                <w:b/>
                <w:sz w:val="24"/>
                <w:szCs w:val="24"/>
              </w:rPr>
            </w:pPr>
            <w:r w:rsidRPr="00533164">
              <w:rPr>
                <w:rFonts w:ascii="Arial" w:hAnsi="Arial" w:cs="Arial"/>
                <w:b/>
                <w:sz w:val="24"/>
                <w:szCs w:val="24"/>
              </w:rPr>
              <w:t>Whites</w:t>
            </w:r>
          </w:p>
        </w:tc>
        <w:tc>
          <w:tcPr>
            <w:tcW w:w="1368" w:type="dxa"/>
            <w:vAlign w:val="center"/>
          </w:tcPr>
          <w:p w:rsidR="00966505" w:rsidRPr="00533164" w:rsidRDefault="00966505" w:rsidP="00F812B4">
            <w:pPr>
              <w:jc w:val="center"/>
              <w:rPr>
                <w:rFonts w:ascii="Arial" w:hAnsi="Arial" w:cs="Arial"/>
                <w:b/>
                <w:sz w:val="24"/>
                <w:szCs w:val="24"/>
              </w:rPr>
            </w:pPr>
            <w:r w:rsidRPr="00533164">
              <w:rPr>
                <w:rFonts w:ascii="Arial" w:hAnsi="Arial" w:cs="Arial"/>
                <w:b/>
                <w:sz w:val="24"/>
                <w:szCs w:val="24"/>
              </w:rPr>
              <w:t>Hispanics</w:t>
            </w:r>
          </w:p>
        </w:tc>
        <w:tc>
          <w:tcPr>
            <w:tcW w:w="1368" w:type="dxa"/>
            <w:vAlign w:val="center"/>
          </w:tcPr>
          <w:p w:rsidR="00966505" w:rsidRPr="00533164" w:rsidRDefault="00966505" w:rsidP="00F812B4">
            <w:pPr>
              <w:jc w:val="center"/>
              <w:rPr>
                <w:rFonts w:ascii="Arial" w:hAnsi="Arial" w:cs="Arial"/>
                <w:b/>
                <w:sz w:val="24"/>
                <w:szCs w:val="24"/>
              </w:rPr>
            </w:pPr>
            <w:r w:rsidRPr="00533164">
              <w:rPr>
                <w:rFonts w:ascii="Arial" w:hAnsi="Arial" w:cs="Arial"/>
                <w:b/>
                <w:sz w:val="24"/>
                <w:szCs w:val="24"/>
              </w:rPr>
              <w:t>African-Americans</w:t>
            </w:r>
          </w:p>
        </w:tc>
      </w:tr>
      <w:tr w:rsidR="00966505" w:rsidRPr="00533164" w:rsidTr="00762E5C">
        <w:tc>
          <w:tcPr>
            <w:tcW w:w="1368" w:type="dxa"/>
            <w:vAlign w:val="center"/>
          </w:tcPr>
          <w:p w:rsidR="00966505" w:rsidRPr="00533164" w:rsidRDefault="00966505" w:rsidP="00762E5C">
            <w:pPr>
              <w:jc w:val="center"/>
              <w:rPr>
                <w:rFonts w:ascii="Arial" w:hAnsi="Arial" w:cs="Arial"/>
                <w:b/>
                <w:sz w:val="24"/>
                <w:szCs w:val="24"/>
              </w:rPr>
            </w:pPr>
            <w:r w:rsidRPr="00533164">
              <w:rPr>
                <w:rFonts w:ascii="Arial" w:hAnsi="Arial" w:cs="Arial"/>
                <w:b/>
                <w:sz w:val="24"/>
                <w:szCs w:val="24"/>
              </w:rPr>
              <w:t>Reading</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94.0%</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87.7%</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6.3%</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77.1%</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16.9%</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91.3%</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76.9%</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14.4%</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70.5%</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20.8%</w:t>
            </w:r>
          </w:p>
        </w:tc>
      </w:tr>
      <w:tr w:rsidR="00966505" w:rsidRPr="00533164" w:rsidTr="00762E5C">
        <w:tc>
          <w:tcPr>
            <w:tcW w:w="1368" w:type="dxa"/>
            <w:vAlign w:val="center"/>
          </w:tcPr>
          <w:p w:rsidR="00966505" w:rsidRPr="00533164" w:rsidRDefault="00966505" w:rsidP="00762E5C">
            <w:pPr>
              <w:jc w:val="center"/>
              <w:rPr>
                <w:rFonts w:ascii="Arial" w:hAnsi="Arial" w:cs="Arial"/>
                <w:b/>
                <w:sz w:val="24"/>
                <w:szCs w:val="24"/>
              </w:rPr>
            </w:pPr>
            <w:r w:rsidRPr="00533164">
              <w:rPr>
                <w:rFonts w:ascii="Arial" w:hAnsi="Arial" w:cs="Arial"/>
                <w:b/>
                <w:sz w:val="24"/>
                <w:szCs w:val="24"/>
              </w:rPr>
              <w:t>Math</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92.2%</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85.3%</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6.9%</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74.9%</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17.3%</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89.1%</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76.4%</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12.7%</w:t>
            </w:r>
          </w:p>
        </w:tc>
        <w:tc>
          <w:tcPr>
            <w:tcW w:w="1368" w:type="dxa"/>
          </w:tcPr>
          <w:p w:rsidR="00966505" w:rsidRPr="00533164" w:rsidRDefault="00966505" w:rsidP="00F812B4">
            <w:pPr>
              <w:jc w:val="center"/>
              <w:rPr>
                <w:rFonts w:ascii="Arial" w:hAnsi="Arial" w:cs="Arial"/>
                <w:sz w:val="24"/>
                <w:szCs w:val="24"/>
              </w:rPr>
            </w:pPr>
            <w:r w:rsidRPr="00533164">
              <w:rPr>
                <w:rFonts w:ascii="Arial" w:hAnsi="Arial" w:cs="Arial"/>
                <w:sz w:val="24"/>
                <w:szCs w:val="24"/>
              </w:rPr>
              <w:t>66.2%</w:t>
            </w:r>
          </w:p>
          <w:p w:rsidR="00966505" w:rsidRPr="00533164" w:rsidRDefault="00966505" w:rsidP="00F812B4">
            <w:pPr>
              <w:jc w:val="center"/>
              <w:rPr>
                <w:rFonts w:ascii="Arial" w:hAnsi="Arial" w:cs="Arial"/>
                <w:sz w:val="24"/>
                <w:szCs w:val="24"/>
              </w:rPr>
            </w:pPr>
            <w:r w:rsidRPr="00533164">
              <w:rPr>
                <w:rFonts w:ascii="Arial" w:hAnsi="Arial" w:cs="Arial"/>
                <w:color w:val="FF0000"/>
                <w:sz w:val="24"/>
                <w:szCs w:val="24"/>
              </w:rPr>
              <w:t>Gap 22.9%</w:t>
            </w:r>
          </w:p>
        </w:tc>
      </w:tr>
    </w:tbl>
    <w:p w:rsidR="006C6A85" w:rsidRPr="00533164" w:rsidRDefault="006C6A85" w:rsidP="006C6A85">
      <w:pPr>
        <w:spacing w:after="0" w:line="240" w:lineRule="auto"/>
        <w:rPr>
          <w:rFonts w:ascii="Arial" w:hAnsi="Arial" w:cs="Arial"/>
          <w:sz w:val="24"/>
          <w:szCs w:val="24"/>
        </w:rPr>
      </w:pPr>
    </w:p>
    <w:p w:rsidR="00533164" w:rsidRDefault="00533164">
      <w:pPr>
        <w:rPr>
          <w:rFonts w:ascii="Arial" w:hAnsi="Arial" w:cs="Arial"/>
          <w:sz w:val="24"/>
          <w:szCs w:val="24"/>
        </w:rPr>
      </w:pPr>
      <w:r>
        <w:rPr>
          <w:rFonts w:ascii="Arial" w:hAnsi="Arial" w:cs="Arial"/>
          <w:sz w:val="24"/>
          <w:szCs w:val="24"/>
        </w:rPr>
        <w:br w:type="page"/>
      </w:r>
    </w:p>
    <w:p w:rsidR="00024D11" w:rsidRPr="00533164" w:rsidRDefault="00533164" w:rsidP="00533164">
      <w:pPr>
        <w:spacing w:after="0" w:line="240" w:lineRule="auto"/>
        <w:rPr>
          <w:rFonts w:ascii="Arial" w:hAnsi="Arial" w:cs="Arial"/>
          <w:sz w:val="24"/>
          <w:szCs w:val="24"/>
        </w:rPr>
      </w:pPr>
      <w:r w:rsidRPr="00533164">
        <w:rPr>
          <w:rFonts w:ascii="Arial" w:hAnsi="Arial" w:cs="Arial"/>
          <w:sz w:val="24"/>
          <w:szCs w:val="24"/>
        </w:rPr>
        <w:lastRenderedPageBreak/>
        <w:t xml:space="preserve">Upon examination of the state assessment results and the discussion, many </w:t>
      </w:r>
      <w:r w:rsidR="00024D11" w:rsidRPr="00533164">
        <w:rPr>
          <w:rFonts w:ascii="Arial" w:hAnsi="Arial" w:cs="Arial"/>
          <w:sz w:val="24"/>
          <w:szCs w:val="24"/>
        </w:rPr>
        <w:t>questi</w:t>
      </w:r>
      <w:r w:rsidRPr="00533164">
        <w:rPr>
          <w:rFonts w:ascii="Arial" w:hAnsi="Arial" w:cs="Arial"/>
          <w:sz w:val="24"/>
          <w:szCs w:val="24"/>
        </w:rPr>
        <w:t xml:space="preserve">ons emerged as to how the </w:t>
      </w:r>
      <w:r w:rsidR="00024D11" w:rsidRPr="00533164">
        <w:rPr>
          <w:rFonts w:ascii="Arial" w:hAnsi="Arial" w:cs="Arial"/>
          <w:sz w:val="24"/>
          <w:szCs w:val="24"/>
        </w:rPr>
        <w:t>following contribute to the gap:</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Teacher preparation</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Teacher recruitment (cultural diversity; minority teachers)</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Student absences</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Suspensions and expulsions</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Preschool experiences</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Foster care placement</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Teacher effectiveness</w:t>
      </w:r>
    </w:p>
    <w:p w:rsidR="00024D11" w:rsidRPr="00533164" w:rsidRDefault="00024D11" w:rsidP="00533164">
      <w:pPr>
        <w:pStyle w:val="ListParagraph"/>
        <w:numPr>
          <w:ilvl w:val="0"/>
          <w:numId w:val="2"/>
        </w:numPr>
        <w:spacing w:after="0" w:line="240" w:lineRule="auto"/>
        <w:rPr>
          <w:rFonts w:ascii="Arial" w:hAnsi="Arial" w:cs="Arial"/>
          <w:sz w:val="24"/>
          <w:szCs w:val="24"/>
        </w:rPr>
      </w:pPr>
      <w:r w:rsidRPr="00533164">
        <w:rPr>
          <w:rFonts w:ascii="Arial" w:hAnsi="Arial" w:cs="Arial"/>
          <w:sz w:val="24"/>
          <w:szCs w:val="24"/>
        </w:rPr>
        <w:t>Class size</w:t>
      </w:r>
    </w:p>
    <w:p w:rsidR="00BB1758" w:rsidRPr="00533164" w:rsidRDefault="00BB1758" w:rsidP="006C6A85">
      <w:pPr>
        <w:spacing w:after="0" w:line="240" w:lineRule="auto"/>
        <w:rPr>
          <w:rFonts w:ascii="Arial" w:hAnsi="Arial" w:cs="Arial"/>
          <w:sz w:val="24"/>
          <w:szCs w:val="24"/>
        </w:rPr>
      </w:pPr>
    </w:p>
    <w:p w:rsidR="00024D11" w:rsidRPr="00533164" w:rsidRDefault="00024D11" w:rsidP="00024D11">
      <w:pPr>
        <w:spacing w:after="0" w:line="240" w:lineRule="auto"/>
        <w:rPr>
          <w:rFonts w:ascii="Arial" w:hAnsi="Arial" w:cs="Arial"/>
          <w:sz w:val="24"/>
          <w:szCs w:val="24"/>
        </w:rPr>
      </w:pPr>
      <w:r w:rsidRPr="00533164">
        <w:rPr>
          <w:rFonts w:ascii="Arial" w:hAnsi="Arial" w:cs="Arial"/>
          <w:sz w:val="24"/>
          <w:szCs w:val="24"/>
        </w:rPr>
        <w:t>The task force members had considerable discussion about areas we need to keep in mind as we continue our work.  These include:</w:t>
      </w:r>
    </w:p>
    <w:p w:rsidR="00024D11" w:rsidRPr="00533164" w:rsidRDefault="00024D11" w:rsidP="00533164">
      <w:pPr>
        <w:pStyle w:val="ListParagraph"/>
        <w:numPr>
          <w:ilvl w:val="0"/>
          <w:numId w:val="3"/>
        </w:numPr>
        <w:spacing w:after="0" w:line="240" w:lineRule="auto"/>
        <w:rPr>
          <w:rFonts w:ascii="Arial" w:hAnsi="Arial" w:cs="Arial"/>
          <w:sz w:val="24"/>
          <w:szCs w:val="24"/>
        </w:rPr>
      </w:pPr>
      <w:r w:rsidRPr="00533164">
        <w:rPr>
          <w:rFonts w:ascii="Arial" w:hAnsi="Arial" w:cs="Arial"/>
          <w:sz w:val="24"/>
          <w:szCs w:val="24"/>
        </w:rPr>
        <w:t>Closing the achievement gap does NOT mean bringing down the top.</w:t>
      </w:r>
    </w:p>
    <w:p w:rsidR="00024D11" w:rsidRPr="00533164" w:rsidRDefault="00024D11" w:rsidP="00533164">
      <w:pPr>
        <w:pStyle w:val="ListParagraph"/>
        <w:numPr>
          <w:ilvl w:val="0"/>
          <w:numId w:val="3"/>
        </w:numPr>
        <w:spacing w:after="0" w:line="240" w:lineRule="auto"/>
        <w:rPr>
          <w:rFonts w:ascii="Arial" w:hAnsi="Arial" w:cs="Arial"/>
          <w:sz w:val="24"/>
          <w:szCs w:val="24"/>
        </w:rPr>
      </w:pPr>
      <w:r w:rsidRPr="00533164">
        <w:rPr>
          <w:rFonts w:ascii="Arial" w:hAnsi="Arial" w:cs="Arial"/>
          <w:sz w:val="24"/>
          <w:szCs w:val="24"/>
        </w:rPr>
        <w:t xml:space="preserve">Parents and communities can play an important role in closing the gap.  </w:t>
      </w:r>
    </w:p>
    <w:p w:rsidR="00024D11" w:rsidRPr="00533164" w:rsidRDefault="00024D11" w:rsidP="00533164">
      <w:pPr>
        <w:pStyle w:val="ListParagraph"/>
        <w:numPr>
          <w:ilvl w:val="0"/>
          <w:numId w:val="3"/>
        </w:numPr>
        <w:spacing w:after="0" w:line="240" w:lineRule="auto"/>
        <w:rPr>
          <w:rFonts w:ascii="Arial" w:hAnsi="Arial" w:cs="Arial"/>
          <w:sz w:val="24"/>
          <w:szCs w:val="24"/>
        </w:rPr>
      </w:pPr>
      <w:r w:rsidRPr="00533164">
        <w:rPr>
          <w:rFonts w:ascii="Arial" w:hAnsi="Arial" w:cs="Arial"/>
          <w:sz w:val="24"/>
          <w:szCs w:val="24"/>
        </w:rPr>
        <w:t>The practice of placing the newest teachers in the most challenging classrooms should be examined.  Is this a best practice?  It was suggested we may want to examine some negotiated agreements to see how prevalent this practice is across Kansas.</w:t>
      </w:r>
    </w:p>
    <w:p w:rsidR="00024D11" w:rsidRPr="00533164" w:rsidRDefault="00024D11" w:rsidP="00533164">
      <w:pPr>
        <w:pStyle w:val="ListParagraph"/>
        <w:numPr>
          <w:ilvl w:val="0"/>
          <w:numId w:val="3"/>
        </w:numPr>
        <w:spacing w:after="0" w:line="240" w:lineRule="auto"/>
        <w:rPr>
          <w:rFonts w:ascii="Arial" w:hAnsi="Arial" w:cs="Arial"/>
          <w:sz w:val="24"/>
          <w:szCs w:val="24"/>
        </w:rPr>
      </w:pPr>
      <w:r w:rsidRPr="00533164">
        <w:rPr>
          <w:rFonts w:ascii="Arial" w:hAnsi="Arial" w:cs="Arial"/>
          <w:sz w:val="24"/>
          <w:szCs w:val="24"/>
        </w:rPr>
        <w:t xml:space="preserve">High expectations is key to the success </w:t>
      </w:r>
      <w:proofErr w:type="gramStart"/>
      <w:r w:rsidRPr="00533164">
        <w:rPr>
          <w:rFonts w:ascii="Arial" w:hAnsi="Arial" w:cs="Arial"/>
          <w:sz w:val="24"/>
          <w:szCs w:val="24"/>
        </w:rPr>
        <w:t>of  all</w:t>
      </w:r>
      <w:proofErr w:type="gramEnd"/>
      <w:r w:rsidRPr="00533164">
        <w:rPr>
          <w:rFonts w:ascii="Arial" w:hAnsi="Arial" w:cs="Arial"/>
          <w:sz w:val="24"/>
          <w:szCs w:val="24"/>
        </w:rPr>
        <w:t xml:space="preserve"> students.</w:t>
      </w:r>
    </w:p>
    <w:p w:rsidR="00024D11" w:rsidRPr="00533164" w:rsidRDefault="00024D11" w:rsidP="00533164">
      <w:pPr>
        <w:pStyle w:val="ListParagraph"/>
        <w:numPr>
          <w:ilvl w:val="0"/>
          <w:numId w:val="3"/>
        </w:numPr>
        <w:spacing w:after="0" w:line="240" w:lineRule="auto"/>
        <w:rPr>
          <w:rFonts w:ascii="Arial" w:hAnsi="Arial" w:cs="Arial"/>
          <w:sz w:val="24"/>
          <w:szCs w:val="24"/>
        </w:rPr>
      </w:pPr>
      <w:r w:rsidRPr="00533164">
        <w:rPr>
          <w:rFonts w:ascii="Arial" w:hAnsi="Arial" w:cs="Arial"/>
          <w:sz w:val="24"/>
          <w:szCs w:val="24"/>
        </w:rPr>
        <w:t>The state should seriously consider alternatives to getting minority students into the teaching profession.  Programs that could be explored include Teach for America and Future Teachers of America.  The Missouri program that recruits minority students could be a model for Kansas.  Diane also mentioned that Kansas does have a teaching pathway in the Career Clusters model.</w:t>
      </w:r>
    </w:p>
    <w:p w:rsidR="00024D11" w:rsidRPr="00533164" w:rsidRDefault="00024D11" w:rsidP="00533164">
      <w:pPr>
        <w:pStyle w:val="ListParagraph"/>
        <w:numPr>
          <w:ilvl w:val="0"/>
          <w:numId w:val="3"/>
        </w:numPr>
        <w:spacing w:after="0" w:line="240" w:lineRule="auto"/>
        <w:rPr>
          <w:rFonts w:ascii="Arial" w:hAnsi="Arial" w:cs="Arial"/>
          <w:sz w:val="24"/>
          <w:szCs w:val="24"/>
        </w:rPr>
      </w:pPr>
      <w:r w:rsidRPr="00533164">
        <w:rPr>
          <w:rFonts w:ascii="Arial" w:hAnsi="Arial" w:cs="Arial"/>
          <w:sz w:val="24"/>
          <w:szCs w:val="24"/>
        </w:rPr>
        <w:t>Programs such as AVID should be expanded where possible.</w:t>
      </w:r>
    </w:p>
    <w:p w:rsidR="00BB1758" w:rsidRPr="00533164" w:rsidRDefault="00BB1758" w:rsidP="006C6A85">
      <w:pPr>
        <w:spacing w:after="0" w:line="240" w:lineRule="auto"/>
        <w:rPr>
          <w:rFonts w:ascii="Arial" w:hAnsi="Arial" w:cs="Arial"/>
          <w:sz w:val="24"/>
          <w:szCs w:val="24"/>
        </w:rPr>
      </w:pPr>
    </w:p>
    <w:p w:rsidR="00BB1758" w:rsidRPr="00533164" w:rsidRDefault="00BB1758" w:rsidP="006C6A85">
      <w:pPr>
        <w:spacing w:after="0" w:line="240" w:lineRule="auto"/>
        <w:rPr>
          <w:rFonts w:ascii="Arial" w:hAnsi="Arial" w:cs="Arial"/>
          <w:sz w:val="24"/>
          <w:szCs w:val="24"/>
        </w:rPr>
      </w:pPr>
    </w:p>
    <w:p w:rsidR="00BB1758" w:rsidRPr="00533164" w:rsidRDefault="00024D11" w:rsidP="006C6A85">
      <w:pPr>
        <w:spacing w:after="0" w:line="240" w:lineRule="auto"/>
        <w:rPr>
          <w:rFonts w:ascii="Arial" w:hAnsi="Arial" w:cs="Arial"/>
          <w:sz w:val="24"/>
          <w:szCs w:val="24"/>
        </w:rPr>
      </w:pPr>
      <w:r w:rsidRPr="00533164">
        <w:rPr>
          <w:rFonts w:ascii="Arial" w:hAnsi="Arial" w:cs="Arial"/>
          <w:sz w:val="24"/>
          <w:szCs w:val="24"/>
        </w:rPr>
        <w:t>Information requested for our next meeting included:</w:t>
      </w:r>
    </w:p>
    <w:p w:rsidR="00BB1758" w:rsidRPr="00533164" w:rsidRDefault="00BB1758" w:rsidP="00533164">
      <w:pPr>
        <w:pStyle w:val="ListParagraph"/>
        <w:numPr>
          <w:ilvl w:val="0"/>
          <w:numId w:val="4"/>
        </w:numPr>
        <w:spacing w:after="0" w:line="240" w:lineRule="auto"/>
        <w:rPr>
          <w:rFonts w:ascii="Arial" w:hAnsi="Arial" w:cs="Arial"/>
          <w:sz w:val="24"/>
          <w:szCs w:val="24"/>
        </w:rPr>
      </w:pPr>
      <w:r w:rsidRPr="00533164">
        <w:rPr>
          <w:rFonts w:ascii="Arial" w:hAnsi="Arial" w:cs="Arial"/>
          <w:sz w:val="24"/>
          <w:szCs w:val="24"/>
        </w:rPr>
        <w:t>Actual number of students in the gap; i.e. a gap of 6.3% in the reduced lunch is how many students.</w:t>
      </w:r>
    </w:p>
    <w:p w:rsidR="00BB1758" w:rsidRPr="00533164" w:rsidRDefault="00BB1758" w:rsidP="00533164">
      <w:pPr>
        <w:pStyle w:val="ListParagraph"/>
        <w:numPr>
          <w:ilvl w:val="0"/>
          <w:numId w:val="4"/>
        </w:numPr>
        <w:spacing w:after="0" w:line="240" w:lineRule="auto"/>
        <w:rPr>
          <w:rFonts w:ascii="Arial" w:hAnsi="Arial" w:cs="Arial"/>
          <w:sz w:val="24"/>
          <w:szCs w:val="24"/>
        </w:rPr>
      </w:pPr>
      <w:r w:rsidRPr="00533164">
        <w:rPr>
          <w:rFonts w:ascii="Arial" w:hAnsi="Arial" w:cs="Arial"/>
          <w:sz w:val="24"/>
          <w:szCs w:val="24"/>
        </w:rPr>
        <w:t>Location of students in the gap; i.e. where are these students located in Kansas?</w:t>
      </w:r>
    </w:p>
    <w:p w:rsidR="00A551F0" w:rsidRPr="00533164" w:rsidRDefault="00A551F0" w:rsidP="00533164">
      <w:pPr>
        <w:pStyle w:val="ListParagraph"/>
        <w:numPr>
          <w:ilvl w:val="0"/>
          <w:numId w:val="4"/>
        </w:numPr>
        <w:spacing w:after="0" w:line="240" w:lineRule="auto"/>
        <w:rPr>
          <w:rFonts w:ascii="Arial" w:hAnsi="Arial" w:cs="Arial"/>
          <w:sz w:val="24"/>
          <w:szCs w:val="24"/>
        </w:rPr>
      </w:pPr>
      <w:r w:rsidRPr="00533164">
        <w:rPr>
          <w:rFonts w:ascii="Arial" w:hAnsi="Arial" w:cs="Arial"/>
          <w:sz w:val="24"/>
          <w:szCs w:val="24"/>
        </w:rPr>
        <w:t>What data is in our early warning system that may be helpful in reducing the gaps?</w:t>
      </w:r>
    </w:p>
    <w:p w:rsidR="00A551F0" w:rsidRPr="00533164" w:rsidRDefault="00A551F0" w:rsidP="00533164">
      <w:pPr>
        <w:pStyle w:val="ListParagraph"/>
        <w:numPr>
          <w:ilvl w:val="0"/>
          <w:numId w:val="4"/>
        </w:numPr>
        <w:spacing w:after="0" w:line="240" w:lineRule="auto"/>
        <w:rPr>
          <w:rFonts w:ascii="Arial" w:hAnsi="Arial" w:cs="Arial"/>
          <w:sz w:val="24"/>
          <w:szCs w:val="24"/>
        </w:rPr>
      </w:pPr>
      <w:r w:rsidRPr="00533164">
        <w:rPr>
          <w:rFonts w:ascii="Arial" w:hAnsi="Arial" w:cs="Arial"/>
          <w:sz w:val="24"/>
          <w:szCs w:val="24"/>
        </w:rPr>
        <w:t>Are there other states with similar demographics and similar gaps?</w:t>
      </w:r>
    </w:p>
    <w:p w:rsidR="00A551F0" w:rsidRPr="00533164" w:rsidRDefault="00A551F0" w:rsidP="006C6A85">
      <w:pPr>
        <w:spacing w:after="0" w:line="240" w:lineRule="auto"/>
        <w:rPr>
          <w:rFonts w:ascii="Arial" w:hAnsi="Arial" w:cs="Arial"/>
          <w:sz w:val="24"/>
          <w:szCs w:val="24"/>
        </w:rPr>
      </w:pPr>
    </w:p>
    <w:p w:rsidR="00A551F0" w:rsidRPr="00533164" w:rsidRDefault="00024D11" w:rsidP="006C6A85">
      <w:pPr>
        <w:spacing w:after="0" w:line="240" w:lineRule="auto"/>
        <w:rPr>
          <w:rFonts w:ascii="Arial" w:hAnsi="Arial" w:cs="Arial"/>
          <w:sz w:val="24"/>
          <w:szCs w:val="24"/>
        </w:rPr>
      </w:pPr>
      <w:r w:rsidRPr="00533164">
        <w:rPr>
          <w:rFonts w:ascii="Arial" w:hAnsi="Arial" w:cs="Arial"/>
          <w:sz w:val="24"/>
          <w:szCs w:val="24"/>
        </w:rPr>
        <w:t xml:space="preserve">The next </w:t>
      </w:r>
      <w:r w:rsidR="00A551F0" w:rsidRPr="00533164">
        <w:rPr>
          <w:rFonts w:ascii="Arial" w:hAnsi="Arial" w:cs="Arial"/>
          <w:sz w:val="24"/>
          <w:szCs w:val="24"/>
        </w:rPr>
        <w:t xml:space="preserve">meeting </w:t>
      </w:r>
      <w:r w:rsidRPr="00533164">
        <w:rPr>
          <w:rFonts w:ascii="Arial" w:hAnsi="Arial" w:cs="Arial"/>
          <w:sz w:val="24"/>
          <w:szCs w:val="24"/>
        </w:rPr>
        <w:t xml:space="preserve">of the task force </w:t>
      </w:r>
      <w:r w:rsidR="00A551F0" w:rsidRPr="00533164">
        <w:rPr>
          <w:rFonts w:ascii="Arial" w:hAnsi="Arial" w:cs="Arial"/>
          <w:sz w:val="24"/>
          <w:szCs w:val="24"/>
        </w:rPr>
        <w:t xml:space="preserve">will be held in early December.  Penny Rice will communicate with the task force members about a date.  Agenda items for the next meeting include asking someone from a district that has closed the achievement gap to present to the members what strategies have worked.  Suggested districts:  Kansas City, Topeka, Garden City, Dodge City, Liberal, </w:t>
      </w:r>
      <w:proofErr w:type="gramStart"/>
      <w:r w:rsidR="00A551F0" w:rsidRPr="00533164">
        <w:rPr>
          <w:rFonts w:ascii="Arial" w:hAnsi="Arial" w:cs="Arial"/>
          <w:sz w:val="24"/>
          <w:szCs w:val="24"/>
        </w:rPr>
        <w:t>Wichita</w:t>
      </w:r>
      <w:proofErr w:type="gramEnd"/>
      <w:r w:rsidR="00A551F0" w:rsidRPr="00533164">
        <w:rPr>
          <w:rFonts w:ascii="Arial" w:hAnsi="Arial" w:cs="Arial"/>
          <w:sz w:val="24"/>
          <w:szCs w:val="24"/>
        </w:rPr>
        <w:t>.  The task force members are particularly interested in evidence-based best practices.</w:t>
      </w:r>
    </w:p>
    <w:p w:rsidR="00024D11" w:rsidRPr="00533164" w:rsidRDefault="00024D11" w:rsidP="006C6A85">
      <w:pPr>
        <w:spacing w:after="0" w:line="240" w:lineRule="auto"/>
        <w:rPr>
          <w:rFonts w:ascii="Arial" w:hAnsi="Arial" w:cs="Arial"/>
          <w:sz w:val="24"/>
          <w:szCs w:val="24"/>
        </w:rPr>
      </w:pPr>
    </w:p>
    <w:p w:rsidR="00024D11" w:rsidRDefault="00024D11" w:rsidP="006C6A85">
      <w:pPr>
        <w:spacing w:after="0" w:line="240" w:lineRule="auto"/>
        <w:rPr>
          <w:rFonts w:ascii="Arial" w:hAnsi="Arial" w:cs="Arial"/>
          <w:sz w:val="24"/>
          <w:szCs w:val="24"/>
        </w:rPr>
      </w:pPr>
      <w:r w:rsidRPr="00533164">
        <w:rPr>
          <w:rFonts w:ascii="Arial" w:hAnsi="Arial" w:cs="Arial"/>
          <w:sz w:val="24"/>
          <w:szCs w:val="24"/>
        </w:rPr>
        <w:t>It was agreed to keep the task force membership to those individuals included in the initial meeting.  Individuals who can contribute to the conversation will be invited to participate as deemed necessary by the members.</w:t>
      </w:r>
    </w:p>
    <w:p w:rsidR="00533164" w:rsidRDefault="00533164" w:rsidP="006C6A85">
      <w:pPr>
        <w:spacing w:after="0" w:line="240" w:lineRule="auto"/>
        <w:rPr>
          <w:rFonts w:ascii="Arial" w:hAnsi="Arial" w:cs="Arial"/>
          <w:sz w:val="24"/>
          <w:szCs w:val="24"/>
        </w:rPr>
      </w:pPr>
    </w:p>
    <w:p w:rsidR="00533164" w:rsidRPr="00533164" w:rsidRDefault="00533164" w:rsidP="006C6A85">
      <w:pPr>
        <w:spacing w:after="0" w:line="240" w:lineRule="auto"/>
        <w:rPr>
          <w:rFonts w:ascii="Arial" w:hAnsi="Arial" w:cs="Arial"/>
          <w:sz w:val="24"/>
          <w:szCs w:val="24"/>
        </w:rPr>
      </w:pPr>
      <w:r>
        <w:rPr>
          <w:rFonts w:ascii="Arial" w:hAnsi="Arial" w:cs="Arial"/>
          <w:sz w:val="24"/>
          <w:szCs w:val="24"/>
        </w:rPr>
        <w:t xml:space="preserve">Two documents were distributed for task for member review.  The documents were: </w:t>
      </w:r>
      <w:r w:rsidR="00881C6E">
        <w:rPr>
          <w:rFonts w:ascii="Arial" w:hAnsi="Arial" w:cs="Arial"/>
          <w:sz w:val="24"/>
          <w:szCs w:val="24"/>
        </w:rPr>
        <w:t xml:space="preserve">ECS </w:t>
      </w:r>
      <w:r w:rsidR="00827BA9">
        <w:rPr>
          <w:rFonts w:ascii="Arial" w:hAnsi="Arial" w:cs="Arial"/>
          <w:sz w:val="24"/>
          <w:szCs w:val="24"/>
        </w:rPr>
        <w:t>Selected State Policies; and ECS</w:t>
      </w:r>
      <w:bookmarkStart w:id="0" w:name="_GoBack"/>
      <w:bookmarkEnd w:id="0"/>
      <w:r w:rsidR="00827BA9">
        <w:rPr>
          <w:rFonts w:ascii="Arial" w:hAnsi="Arial" w:cs="Arial"/>
          <w:sz w:val="24"/>
          <w:szCs w:val="24"/>
        </w:rPr>
        <w:t xml:space="preserve"> Student Achievement –Closing the Achievement Gap Articles</w:t>
      </w:r>
      <w:r>
        <w:rPr>
          <w:rFonts w:ascii="Arial" w:hAnsi="Arial" w:cs="Arial"/>
          <w:sz w:val="24"/>
          <w:szCs w:val="24"/>
        </w:rPr>
        <w:t>.  Both can be found at the webpage at.</w:t>
      </w:r>
      <w:r w:rsidR="004F225E" w:rsidRPr="004F225E">
        <w:t xml:space="preserve"> </w:t>
      </w:r>
      <w:hyperlink r:id="rId7" w:history="1">
        <w:r w:rsidR="004F225E" w:rsidRPr="003B793F">
          <w:rPr>
            <w:rStyle w:val="Hyperlink"/>
            <w:rFonts w:ascii="Arial" w:hAnsi="Arial" w:cs="Arial"/>
            <w:sz w:val="24"/>
            <w:szCs w:val="24"/>
          </w:rPr>
          <w:t>http://www.ksde.org/Default.aspx?tabid=1646</w:t>
        </w:r>
      </w:hyperlink>
      <w:r w:rsidR="004F225E">
        <w:rPr>
          <w:rFonts w:ascii="Arial" w:hAnsi="Arial" w:cs="Arial"/>
          <w:sz w:val="24"/>
          <w:szCs w:val="24"/>
        </w:rPr>
        <w:tab/>
      </w:r>
    </w:p>
    <w:p w:rsidR="00024D11" w:rsidRPr="00533164" w:rsidRDefault="00024D11" w:rsidP="006C6A85">
      <w:pPr>
        <w:spacing w:after="0" w:line="240" w:lineRule="auto"/>
        <w:rPr>
          <w:rFonts w:ascii="Arial" w:hAnsi="Arial" w:cs="Arial"/>
          <w:sz w:val="24"/>
          <w:szCs w:val="24"/>
        </w:rPr>
      </w:pPr>
    </w:p>
    <w:p w:rsidR="00024D11" w:rsidRPr="00533164" w:rsidRDefault="00024D11" w:rsidP="006C6A85">
      <w:pPr>
        <w:spacing w:after="0" w:line="240" w:lineRule="auto"/>
        <w:rPr>
          <w:rFonts w:ascii="Arial" w:hAnsi="Arial" w:cs="Arial"/>
          <w:sz w:val="24"/>
          <w:szCs w:val="24"/>
        </w:rPr>
      </w:pPr>
    </w:p>
    <w:p w:rsidR="00A551F0" w:rsidRPr="00533164" w:rsidRDefault="00A551F0" w:rsidP="006C6A85">
      <w:pPr>
        <w:spacing w:after="0" w:line="240" w:lineRule="auto"/>
        <w:rPr>
          <w:rFonts w:ascii="Arial" w:hAnsi="Arial" w:cs="Arial"/>
          <w:sz w:val="24"/>
          <w:szCs w:val="24"/>
        </w:rPr>
      </w:pPr>
    </w:p>
    <w:p w:rsidR="00CF2FB1" w:rsidRPr="00533164" w:rsidRDefault="00CF2FB1" w:rsidP="006C6A85">
      <w:pPr>
        <w:spacing w:after="0" w:line="240" w:lineRule="auto"/>
        <w:rPr>
          <w:rFonts w:ascii="Arial" w:hAnsi="Arial" w:cs="Arial"/>
          <w:sz w:val="24"/>
          <w:szCs w:val="24"/>
        </w:rPr>
      </w:pPr>
    </w:p>
    <w:sectPr w:rsidR="00CF2FB1" w:rsidRPr="0053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70C"/>
    <w:multiLevelType w:val="hybridMultilevel"/>
    <w:tmpl w:val="7C56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76903"/>
    <w:multiLevelType w:val="hybridMultilevel"/>
    <w:tmpl w:val="CE58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E0695"/>
    <w:multiLevelType w:val="hybridMultilevel"/>
    <w:tmpl w:val="8930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E4B98"/>
    <w:multiLevelType w:val="hybridMultilevel"/>
    <w:tmpl w:val="8B40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85"/>
    <w:rsid w:val="00024D11"/>
    <w:rsid w:val="002D48A7"/>
    <w:rsid w:val="004F225E"/>
    <w:rsid w:val="00533164"/>
    <w:rsid w:val="006C6A85"/>
    <w:rsid w:val="00762E5C"/>
    <w:rsid w:val="007A6FA4"/>
    <w:rsid w:val="00817D06"/>
    <w:rsid w:val="00827BA9"/>
    <w:rsid w:val="00881C6E"/>
    <w:rsid w:val="00966505"/>
    <w:rsid w:val="00A551F0"/>
    <w:rsid w:val="00BB1758"/>
    <w:rsid w:val="00CF2FB1"/>
    <w:rsid w:val="00F8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E5C"/>
    <w:pPr>
      <w:ind w:left="720"/>
      <w:contextualSpacing/>
    </w:pPr>
  </w:style>
  <w:style w:type="character" w:styleId="Hyperlink">
    <w:name w:val="Hyperlink"/>
    <w:basedOn w:val="DefaultParagraphFont"/>
    <w:uiPriority w:val="99"/>
    <w:unhideWhenUsed/>
    <w:rsid w:val="004F2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E5C"/>
    <w:pPr>
      <w:ind w:left="720"/>
      <w:contextualSpacing/>
    </w:pPr>
  </w:style>
  <w:style w:type="character" w:styleId="Hyperlink">
    <w:name w:val="Hyperlink"/>
    <w:basedOn w:val="DefaultParagraphFont"/>
    <w:uiPriority w:val="99"/>
    <w:unhideWhenUsed/>
    <w:rsid w:val="004F2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sde.org/Default.aspx?tabid=1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de.org/Default.aspx?tabid=16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ddebacker</dc:creator>
  <cp:lastModifiedBy>Penny Rice</cp:lastModifiedBy>
  <cp:revision>7</cp:revision>
  <dcterms:created xsi:type="dcterms:W3CDTF">2012-10-29T20:09:00Z</dcterms:created>
  <dcterms:modified xsi:type="dcterms:W3CDTF">2012-11-09T20:18:00Z</dcterms:modified>
</cp:coreProperties>
</file>